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FEBB" w14:textId="77777777" w:rsidR="0047141B" w:rsidRDefault="0047141B" w:rsidP="0047141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Конструктивные решения сборной части</w:t>
      </w:r>
    </w:p>
    <w:p w14:paraId="00E01990" w14:textId="77777777" w:rsidR="0047141B" w:rsidRDefault="0047141B" w:rsidP="0047141B">
      <w:pPr>
        <w:autoSpaceDE w:val="0"/>
        <w:autoSpaceDN w:val="0"/>
        <w:adjustRightInd w:val="0"/>
        <w:spacing w:after="0" w:line="360" w:lineRule="auto"/>
        <w:ind w:left="-284" w:right="-284" w:firstLine="992"/>
        <w:rPr>
          <w:rFonts w:ascii="Times New Roman" w:hAnsi="Times New Roman" w:cs="Times New Roman"/>
          <w:sz w:val="24"/>
          <w:szCs w:val="24"/>
        </w:rPr>
      </w:pPr>
    </w:p>
    <w:p w14:paraId="48ABA2EB" w14:textId="791B5A28" w:rsidR="0047141B" w:rsidRPr="007C7A81" w:rsidRDefault="00452D54" w:rsidP="0047141B">
      <w:pPr>
        <w:autoSpaceDE w:val="0"/>
        <w:autoSpaceDN w:val="0"/>
        <w:adjustRightInd w:val="0"/>
        <w:spacing w:after="0" w:line="360" w:lineRule="auto"/>
        <w:ind w:left="-284" w:right="-284" w:firstLine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типовых этажах</w:t>
      </w:r>
      <w:r w:rsidR="0047141B" w:rsidRPr="00423CA0">
        <w:rPr>
          <w:rFonts w:ascii="Times New Roman" w:hAnsi="Times New Roman" w:cs="Times New Roman"/>
          <w:sz w:val="24"/>
          <w:szCs w:val="24"/>
        </w:rPr>
        <w:t>, в техническом пространстве и на парапетах применяются навесные трехслойные наружные стеновые панели толщиной 330-360мм заводского изготовления. Парапеты жилого дома</w:t>
      </w:r>
      <w:r w:rsidR="0047141B">
        <w:rPr>
          <w:rFonts w:ascii="Times New Roman" w:hAnsi="Times New Roman" w:cs="Times New Roman"/>
          <w:sz w:val="24"/>
          <w:szCs w:val="24"/>
        </w:rPr>
        <w:t xml:space="preserve"> </w:t>
      </w:r>
      <w:r w:rsidR="0047141B" w:rsidRPr="00423CA0">
        <w:rPr>
          <w:rFonts w:ascii="Times New Roman" w:hAnsi="Times New Roman" w:cs="Times New Roman"/>
          <w:sz w:val="24"/>
          <w:szCs w:val="24"/>
        </w:rPr>
        <w:t>– панели сборные трехслойные железобетонные толщиной 330-360мм заводского изготовления. Для фиксации панелей парапета в каждом стыке устанавливаются</w:t>
      </w:r>
      <w:r w:rsidR="0047141B">
        <w:rPr>
          <w:rFonts w:ascii="Times New Roman" w:hAnsi="Times New Roman" w:cs="Times New Roman"/>
          <w:sz w:val="24"/>
          <w:szCs w:val="24"/>
        </w:rPr>
        <w:t xml:space="preserve"> </w:t>
      </w:r>
      <w:r w:rsidR="0047141B" w:rsidRPr="007C7A81">
        <w:rPr>
          <w:rFonts w:ascii="Times New Roman" w:hAnsi="Times New Roman" w:cs="Times New Roman"/>
          <w:sz w:val="24"/>
          <w:szCs w:val="24"/>
        </w:rPr>
        <w:t>монолитные железобетонные столбики, высотой 1500мм от верха плиты покрытия</w:t>
      </w:r>
      <w:r w:rsidR="0047141B">
        <w:rPr>
          <w:rFonts w:ascii="Times New Roman" w:hAnsi="Times New Roman" w:cs="Times New Roman"/>
          <w:sz w:val="24"/>
          <w:szCs w:val="24"/>
        </w:rPr>
        <w:t xml:space="preserve"> </w:t>
      </w:r>
      <w:r w:rsidR="0047141B" w:rsidRPr="00423CA0">
        <w:rPr>
          <w:rFonts w:ascii="Times New Roman" w:hAnsi="Times New Roman" w:cs="Times New Roman"/>
          <w:sz w:val="24"/>
          <w:szCs w:val="24"/>
        </w:rPr>
        <w:t>и однослойные сборные железобетонные</w:t>
      </w:r>
      <w:r w:rsidR="0047141B">
        <w:rPr>
          <w:rFonts w:ascii="Times New Roman" w:hAnsi="Times New Roman" w:cs="Times New Roman"/>
          <w:sz w:val="24"/>
          <w:szCs w:val="24"/>
        </w:rPr>
        <w:t xml:space="preserve"> </w:t>
      </w:r>
      <w:r w:rsidR="0047141B" w:rsidRPr="00423CA0">
        <w:rPr>
          <w:rFonts w:ascii="Times New Roman" w:hAnsi="Times New Roman" w:cs="Times New Roman"/>
          <w:sz w:val="24"/>
          <w:szCs w:val="24"/>
        </w:rPr>
        <w:t>контрфорсы</w:t>
      </w:r>
      <w:r w:rsidR="0047141B">
        <w:rPr>
          <w:rFonts w:ascii="Times New Roman" w:hAnsi="Times New Roman" w:cs="Times New Roman"/>
          <w:sz w:val="24"/>
          <w:szCs w:val="24"/>
        </w:rPr>
        <w:t>.</w:t>
      </w:r>
      <w:r w:rsidR="0047141B" w:rsidRPr="00423C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95EA62" w14:textId="77777777" w:rsidR="0047141B" w:rsidRDefault="0047141B" w:rsidP="0047141B">
      <w:pPr>
        <w:autoSpaceDE w:val="0"/>
        <w:autoSpaceDN w:val="0"/>
        <w:adjustRightInd w:val="0"/>
        <w:spacing w:after="0" w:line="360" w:lineRule="auto"/>
        <w:ind w:left="-284" w:right="-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414DA9B6" w14:textId="60C4A173" w:rsidR="0047141B" w:rsidRPr="00423CA0" w:rsidRDefault="0047141B" w:rsidP="0047141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C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Наружные стены типового этажа</w:t>
      </w:r>
      <w:r w:rsidRPr="00423CA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423CA0">
        <w:rPr>
          <w:rFonts w:ascii="Times New Roman" w:hAnsi="Times New Roman" w:cs="Times New Roman"/>
          <w:b/>
          <w:i/>
          <w:sz w:val="24"/>
          <w:szCs w:val="24"/>
        </w:rPr>
        <w:t xml:space="preserve">с </w:t>
      </w:r>
      <w:proofErr w:type="spellStart"/>
      <w:r w:rsidRPr="00423CA0">
        <w:rPr>
          <w:rFonts w:ascii="Times New Roman" w:hAnsi="Times New Roman" w:cs="Times New Roman"/>
          <w:b/>
          <w:i/>
          <w:sz w:val="24"/>
          <w:szCs w:val="24"/>
        </w:rPr>
        <w:t>отм</w:t>
      </w:r>
      <w:proofErr w:type="spellEnd"/>
      <w:r w:rsidRPr="00423CA0">
        <w:rPr>
          <w:rFonts w:ascii="Times New Roman" w:hAnsi="Times New Roman" w:cs="Times New Roman"/>
          <w:b/>
          <w:i/>
          <w:sz w:val="24"/>
          <w:szCs w:val="24"/>
        </w:rPr>
        <w:t>. +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423CA0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452D54">
        <w:rPr>
          <w:rFonts w:ascii="Times New Roman" w:hAnsi="Times New Roman" w:cs="Times New Roman"/>
          <w:b/>
          <w:i/>
          <w:sz w:val="24"/>
          <w:szCs w:val="24"/>
        </w:rPr>
        <w:t>25</w:t>
      </w:r>
      <w:r w:rsidRPr="00423CA0">
        <w:rPr>
          <w:rFonts w:ascii="Times New Roman" w:hAnsi="Times New Roman" w:cs="Times New Roman"/>
          <w:b/>
          <w:i/>
          <w:sz w:val="24"/>
          <w:szCs w:val="24"/>
        </w:rPr>
        <w:t xml:space="preserve">0): </w:t>
      </w:r>
    </w:p>
    <w:p w14:paraId="5B748B8C" w14:textId="77777777" w:rsidR="0047141B" w:rsidRPr="00423CA0" w:rsidRDefault="0047141B" w:rsidP="0047141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1A714C" w14:textId="77777777" w:rsidR="0047141B" w:rsidRDefault="0047141B" w:rsidP="0047141B">
      <w:pPr>
        <w:suppressAutoHyphens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3CA0">
        <w:rPr>
          <w:rFonts w:ascii="Times New Roman" w:hAnsi="Times New Roman" w:cs="Times New Roman"/>
          <w:b/>
          <w:i/>
          <w:sz w:val="24"/>
          <w:szCs w:val="24"/>
        </w:rPr>
        <w:t>Сборные панели:</w:t>
      </w:r>
    </w:p>
    <w:p w14:paraId="0E79389E" w14:textId="77777777" w:rsidR="0047141B" w:rsidRPr="00AA041D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Сборные трехслойные железобетонные ненесущие панели</w:t>
      </w:r>
      <w:r w:rsidRPr="00AA041D">
        <w:rPr>
          <w:rFonts w:ascii="Times New Roman" w:hAnsi="Times New Roman" w:cs="Times New Roman"/>
          <w:i/>
          <w:sz w:val="24"/>
          <w:szCs w:val="24"/>
        </w:rPr>
        <w:t xml:space="preserve"> полной заводской готовности по ТУ 23.61.12.131-107-87601403-2023, имеющие наружный декоративный облицовочный слой.</w:t>
      </w:r>
    </w:p>
    <w:p w14:paraId="5B7DCE3A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Толщина панелей 330-360 мм со следующими параметрами слоев:</w:t>
      </w:r>
    </w:p>
    <w:p w14:paraId="045D7631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 xml:space="preserve">Внутренний </w:t>
      </w:r>
      <w:proofErr w:type="spellStart"/>
      <w:r w:rsidRPr="00531E42">
        <w:rPr>
          <w:rFonts w:ascii="Times New Roman" w:hAnsi="Times New Roman" w:cs="Times New Roman"/>
          <w:i/>
          <w:sz w:val="24"/>
          <w:szCs w:val="24"/>
        </w:rPr>
        <w:t>ж.б</w:t>
      </w:r>
      <w:proofErr w:type="spellEnd"/>
      <w:r w:rsidRPr="00531E42">
        <w:rPr>
          <w:rFonts w:ascii="Times New Roman" w:hAnsi="Times New Roman" w:cs="Times New Roman"/>
          <w:i/>
          <w:sz w:val="24"/>
          <w:szCs w:val="24"/>
        </w:rPr>
        <w:t>. слой из бетона класса В25 (ГОСТ 26633-2015</w:t>
      </w:r>
      <w:proofErr w:type="gramStart"/>
      <w:r w:rsidRPr="00531E42">
        <w:rPr>
          <w:rFonts w:ascii="Times New Roman" w:hAnsi="Times New Roman" w:cs="Times New Roman"/>
          <w:i/>
          <w:sz w:val="24"/>
          <w:szCs w:val="24"/>
        </w:rPr>
        <w:t>)  -</w:t>
      </w:r>
      <w:proofErr w:type="gramEnd"/>
      <w:r w:rsidRPr="00531E42">
        <w:rPr>
          <w:rFonts w:ascii="Times New Roman" w:hAnsi="Times New Roman" w:cs="Times New Roman"/>
          <w:i/>
          <w:sz w:val="24"/>
          <w:szCs w:val="24"/>
        </w:rPr>
        <w:t xml:space="preserve"> 100 мм</w:t>
      </w:r>
    </w:p>
    <w:p w14:paraId="108BF797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 xml:space="preserve">Утеплитель – </w:t>
      </w:r>
      <w:r w:rsidRPr="00355732">
        <w:rPr>
          <w:rFonts w:ascii="Times New Roman" w:hAnsi="Times New Roman" w:cs="Times New Roman"/>
          <w:i/>
          <w:sz w:val="24"/>
          <w:szCs w:val="24"/>
        </w:rPr>
        <w:t>экструзионный пенополистирол (Пеноплекс Основа) по ТУ 5767-006-54349294-2014 (или аналог) с противопожарными отсечками шириной 100 мм по периметру проемов и внешнему периметру панели из минераловатной плиты (</w:t>
      </w:r>
      <w:proofErr w:type="spellStart"/>
      <w:r w:rsidRPr="00355732">
        <w:rPr>
          <w:rFonts w:ascii="Times New Roman" w:hAnsi="Times New Roman" w:cs="Times New Roman"/>
          <w:i/>
          <w:sz w:val="24"/>
          <w:szCs w:val="24"/>
        </w:rPr>
        <w:t>Техновент</w:t>
      </w:r>
      <w:proofErr w:type="spellEnd"/>
      <w:r w:rsidRPr="00355732">
        <w:rPr>
          <w:rFonts w:ascii="Times New Roman" w:hAnsi="Times New Roman" w:cs="Times New Roman"/>
          <w:i/>
          <w:sz w:val="24"/>
          <w:szCs w:val="24"/>
        </w:rPr>
        <w:t xml:space="preserve"> Стандарт) по ГОСТ 32314-2012 (или </w:t>
      </w:r>
      <w:proofErr w:type="gramStart"/>
      <w:r w:rsidRPr="00355732">
        <w:rPr>
          <w:rFonts w:ascii="Times New Roman" w:hAnsi="Times New Roman" w:cs="Times New Roman"/>
          <w:i/>
          <w:sz w:val="24"/>
          <w:szCs w:val="24"/>
        </w:rPr>
        <w:t xml:space="preserve">аналог)   </w:t>
      </w:r>
      <w:proofErr w:type="gramEnd"/>
      <w:r w:rsidRPr="00355732">
        <w:rPr>
          <w:rFonts w:ascii="Times New Roman" w:hAnsi="Times New Roman" w:cs="Times New Roman"/>
          <w:i/>
          <w:sz w:val="24"/>
          <w:szCs w:val="24"/>
        </w:rPr>
        <w:t>- 150мм</w:t>
      </w:r>
    </w:p>
    <w:p w14:paraId="64A621C3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Наружный слой – 80-110 мм состоит из:</w:t>
      </w:r>
    </w:p>
    <w:p w14:paraId="546A21BC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31E42">
        <w:rPr>
          <w:rFonts w:ascii="Times New Roman" w:hAnsi="Times New Roman" w:cs="Times New Roman"/>
          <w:i/>
          <w:sz w:val="24"/>
          <w:szCs w:val="24"/>
        </w:rPr>
        <w:t>Ж.б</w:t>
      </w:r>
      <w:proofErr w:type="spellEnd"/>
      <w:r w:rsidRPr="00531E42">
        <w:rPr>
          <w:rFonts w:ascii="Times New Roman" w:hAnsi="Times New Roman" w:cs="Times New Roman"/>
          <w:i/>
          <w:sz w:val="24"/>
          <w:szCs w:val="24"/>
        </w:rPr>
        <w:t>. слой из бетона класса В25, F100, W4 (ГОСТ 26633-2015) - 70 мм</w:t>
      </w:r>
    </w:p>
    <w:p w14:paraId="069D18B8" w14:textId="3D63EE9D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Наружный декоративный облицовочный слой</w:t>
      </w:r>
    </w:p>
    <w:p w14:paraId="53CA0224" w14:textId="77777777" w:rsidR="0047141B" w:rsidRPr="00423CA0" w:rsidRDefault="0047141B" w:rsidP="0047141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7C0FADE" w14:textId="77777777" w:rsidR="0047141B" w:rsidRDefault="0047141B" w:rsidP="0047141B">
      <w:pPr>
        <w:suppressAutoHyphens/>
        <w:spacing w:line="360" w:lineRule="auto"/>
        <w:ind w:right="68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25BB">
        <w:rPr>
          <w:rFonts w:ascii="Times New Roman" w:hAnsi="Times New Roman" w:cs="Times New Roman"/>
          <w:sz w:val="24"/>
          <w:szCs w:val="24"/>
        </w:rPr>
        <w:t>Армирование внутреннего и наружного слоя выполняется арматурой 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 xml:space="preserve">A500С по ГОСТ 34028-2016, В500С по ГОСТ 52544-2006, </w:t>
      </w:r>
      <w:proofErr w:type="spellStart"/>
      <w:r w:rsidRPr="00C725BB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C725BB">
        <w:rPr>
          <w:rFonts w:ascii="Times New Roman" w:hAnsi="Times New Roman" w:cs="Times New Roman"/>
          <w:sz w:val="24"/>
          <w:szCs w:val="24"/>
        </w:rPr>
        <w:t>-I по ГОСТ 6727-80*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64DDAF" w14:textId="77777777" w:rsidR="0047141B" w:rsidRPr="00531E42" w:rsidRDefault="0047141B" w:rsidP="0047141B">
      <w:pPr>
        <w:suppressAutoHyphens/>
        <w:spacing w:line="360" w:lineRule="auto"/>
        <w:ind w:right="68"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25BB">
        <w:rPr>
          <w:rFonts w:ascii="Times New Roman" w:hAnsi="Times New Roman" w:cs="Times New Roman"/>
          <w:sz w:val="24"/>
          <w:szCs w:val="24"/>
        </w:rPr>
        <w:t>Монтаж панелей наружных стен выполняется на цементно-песчаном растворе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>марки М200. Раскладка раствора производится непосредственно перед установкой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>панелей в проектное положение. Установка панелей наружных стен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>поэтажно. Соединение панелей наружных стен с монолитными пилонами и плитами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>перекрытия осуществляется металлическими монтажными связями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725BB">
        <w:rPr>
          <w:rFonts w:ascii="Times New Roman" w:hAnsi="Times New Roman" w:cs="Times New Roman"/>
          <w:sz w:val="24"/>
          <w:szCs w:val="24"/>
        </w:rPr>
        <w:t xml:space="preserve"> </w:t>
      </w:r>
      <w:r w:rsidRPr="00AA041D">
        <w:rPr>
          <w:rFonts w:ascii="Times New Roman" w:hAnsi="Times New Roman" w:cs="Times New Roman"/>
          <w:sz w:val="24"/>
          <w:szCs w:val="24"/>
        </w:rPr>
        <w:t>закладными деталями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41D">
        <w:rPr>
          <w:rFonts w:ascii="Times New Roman" w:hAnsi="Times New Roman" w:cs="Times New Roman"/>
          <w:sz w:val="24"/>
          <w:szCs w:val="24"/>
        </w:rPr>
        <w:t>панелях и монолитных конструкциях на сварке.</w:t>
      </w:r>
    </w:p>
    <w:p w14:paraId="65993D8A" w14:textId="3FCD7560" w:rsidR="0047141B" w:rsidRDefault="0047141B" w:rsidP="0047141B">
      <w:pPr>
        <w:suppressAutoHyphens/>
        <w:spacing w:line="360" w:lineRule="auto"/>
        <w:ind w:right="68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23CA0">
        <w:rPr>
          <w:rFonts w:ascii="Times New Roman" w:hAnsi="Times New Roman" w:cs="Times New Roman"/>
          <w:b/>
          <w:i/>
          <w:sz w:val="24"/>
          <w:szCs w:val="24"/>
        </w:rPr>
        <w:t>Конструкция парапета</w:t>
      </w:r>
      <w:r w:rsidRPr="00423CA0">
        <w:rPr>
          <w:rFonts w:ascii="Times New Roman" w:hAnsi="Times New Roman" w:cs="Times New Roman"/>
          <w:sz w:val="24"/>
          <w:szCs w:val="24"/>
        </w:rPr>
        <w:t xml:space="preserve"> – сборные трехслойные железобетонные панели. Наружные трехслойные железобетонные панели парапета толщиной 330-360 мм, высотой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2D54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40мм </w:t>
      </w:r>
      <w:r w:rsidRPr="007D0BC1">
        <w:rPr>
          <w:rFonts w:ascii="Times New Roman" w:hAnsi="Times New Roman" w:cs="Times New Roman"/>
          <w:sz w:val="24"/>
          <w:szCs w:val="24"/>
        </w:rPr>
        <w:t>(</w:t>
      </w:r>
      <w:r w:rsidR="00452D54">
        <w:rPr>
          <w:rFonts w:ascii="Times New Roman" w:hAnsi="Times New Roman" w:cs="Times New Roman"/>
          <w:sz w:val="24"/>
          <w:szCs w:val="24"/>
        </w:rPr>
        <w:t>18</w:t>
      </w:r>
      <w:r w:rsidRPr="007D0BC1">
        <w:rPr>
          <w:rFonts w:ascii="Times New Roman" w:hAnsi="Times New Roman" w:cs="Times New Roman"/>
          <w:sz w:val="24"/>
          <w:szCs w:val="24"/>
        </w:rPr>
        <w:t>30 от верха плиты покрытия)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3CA0">
        <w:rPr>
          <w:rFonts w:ascii="Times New Roman" w:hAnsi="Times New Roman" w:cs="Times New Roman"/>
          <w:sz w:val="24"/>
          <w:szCs w:val="24"/>
        </w:rPr>
        <w:t>со следующими параметрами слоев:</w:t>
      </w:r>
    </w:p>
    <w:p w14:paraId="42DAD576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 xml:space="preserve">Внутренний </w:t>
      </w:r>
      <w:proofErr w:type="spellStart"/>
      <w:r w:rsidRPr="00531E42">
        <w:rPr>
          <w:rFonts w:ascii="Times New Roman" w:hAnsi="Times New Roman" w:cs="Times New Roman"/>
          <w:i/>
          <w:sz w:val="24"/>
          <w:szCs w:val="24"/>
        </w:rPr>
        <w:t>ж.б</w:t>
      </w:r>
      <w:proofErr w:type="spellEnd"/>
      <w:r w:rsidRPr="00531E42">
        <w:rPr>
          <w:rFonts w:ascii="Times New Roman" w:hAnsi="Times New Roman" w:cs="Times New Roman"/>
          <w:i/>
          <w:sz w:val="24"/>
          <w:szCs w:val="24"/>
        </w:rPr>
        <w:t>. слой из бетона класса В25, F100, W4 (ГОСТ26633-2015) - 100 мм.</w:t>
      </w:r>
    </w:p>
    <w:p w14:paraId="603BF325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 xml:space="preserve">Утеплитель - </w:t>
      </w:r>
      <w:r w:rsidRPr="008E3C1F">
        <w:rPr>
          <w:rFonts w:ascii="Times New Roman" w:hAnsi="Times New Roman" w:cs="Times New Roman"/>
          <w:i/>
          <w:sz w:val="24"/>
          <w:szCs w:val="24"/>
        </w:rPr>
        <w:t xml:space="preserve">экструзионный пенополистирол (Пеноплекс Основа) по ТУ 5767-006-54349294-2014 (или аналог) с противопожарными отсечками шириной 100 мм по </w:t>
      </w:r>
      <w:r w:rsidRPr="008E3C1F">
        <w:rPr>
          <w:rFonts w:ascii="Times New Roman" w:hAnsi="Times New Roman" w:cs="Times New Roman"/>
          <w:i/>
          <w:sz w:val="24"/>
          <w:szCs w:val="24"/>
        </w:rPr>
        <w:lastRenderedPageBreak/>
        <w:t>периметру проемов и внешнему периметру панели из минераловатной плиты (</w:t>
      </w:r>
      <w:proofErr w:type="spellStart"/>
      <w:r w:rsidRPr="008E3C1F">
        <w:rPr>
          <w:rFonts w:ascii="Times New Roman" w:hAnsi="Times New Roman" w:cs="Times New Roman"/>
          <w:i/>
          <w:sz w:val="24"/>
          <w:szCs w:val="24"/>
        </w:rPr>
        <w:t>Техновент</w:t>
      </w:r>
      <w:proofErr w:type="spellEnd"/>
      <w:r w:rsidRPr="008E3C1F">
        <w:rPr>
          <w:rFonts w:ascii="Times New Roman" w:hAnsi="Times New Roman" w:cs="Times New Roman"/>
          <w:i/>
          <w:sz w:val="24"/>
          <w:szCs w:val="24"/>
        </w:rPr>
        <w:t xml:space="preserve"> Стандарт) по ГОСТ 32314-2012 (или </w:t>
      </w:r>
      <w:proofErr w:type="gramStart"/>
      <w:r w:rsidRPr="008E3C1F">
        <w:rPr>
          <w:rFonts w:ascii="Times New Roman" w:hAnsi="Times New Roman" w:cs="Times New Roman"/>
          <w:i/>
          <w:sz w:val="24"/>
          <w:szCs w:val="24"/>
        </w:rPr>
        <w:t xml:space="preserve">аналог)   </w:t>
      </w:r>
      <w:proofErr w:type="gramEnd"/>
      <w:r w:rsidRPr="008E3C1F">
        <w:rPr>
          <w:rFonts w:ascii="Times New Roman" w:hAnsi="Times New Roman" w:cs="Times New Roman"/>
          <w:i/>
          <w:sz w:val="24"/>
          <w:szCs w:val="24"/>
        </w:rPr>
        <w:t>- 150мм</w:t>
      </w:r>
    </w:p>
    <w:p w14:paraId="76EBC621" w14:textId="77777777" w:rsidR="0047141B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Наружный слой – 80-110 мм состоит из:</w:t>
      </w:r>
    </w:p>
    <w:p w14:paraId="4E1CCB36" w14:textId="77777777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31E42">
        <w:rPr>
          <w:rFonts w:ascii="Times New Roman" w:hAnsi="Times New Roman" w:cs="Times New Roman"/>
          <w:i/>
          <w:sz w:val="24"/>
          <w:szCs w:val="24"/>
        </w:rPr>
        <w:t>Ж.б</w:t>
      </w:r>
      <w:proofErr w:type="spellEnd"/>
      <w:r w:rsidRPr="00531E42">
        <w:rPr>
          <w:rFonts w:ascii="Times New Roman" w:hAnsi="Times New Roman" w:cs="Times New Roman"/>
          <w:i/>
          <w:sz w:val="24"/>
          <w:szCs w:val="24"/>
        </w:rPr>
        <w:t>. слой из бетона класса В25, F100, W4 (ГОСТ26633-</w:t>
      </w:r>
      <w:proofErr w:type="gramStart"/>
      <w:r w:rsidRPr="00531E42">
        <w:rPr>
          <w:rFonts w:ascii="Times New Roman" w:hAnsi="Times New Roman" w:cs="Times New Roman"/>
          <w:i/>
          <w:sz w:val="24"/>
          <w:szCs w:val="24"/>
        </w:rPr>
        <w:t>2015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31E42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Pr="00531E42">
        <w:rPr>
          <w:rFonts w:ascii="Times New Roman" w:hAnsi="Times New Roman" w:cs="Times New Roman"/>
          <w:i/>
          <w:sz w:val="24"/>
          <w:szCs w:val="24"/>
        </w:rPr>
        <w:t>- 70 мм.</w:t>
      </w:r>
    </w:p>
    <w:p w14:paraId="41ACADC2" w14:textId="3DC5DB72" w:rsidR="0047141B" w:rsidRPr="00531E42" w:rsidRDefault="0047141B" w:rsidP="0047141B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1E42">
        <w:rPr>
          <w:rFonts w:ascii="Times New Roman" w:hAnsi="Times New Roman" w:cs="Times New Roman"/>
          <w:i/>
          <w:sz w:val="24"/>
          <w:szCs w:val="24"/>
        </w:rPr>
        <w:t>Наружный декоративный облицовочный слой</w:t>
      </w:r>
    </w:p>
    <w:p w14:paraId="1892CED6" w14:textId="77777777" w:rsidR="0047141B" w:rsidRDefault="0047141B" w:rsidP="0047141B">
      <w:pPr>
        <w:suppressAutoHyphens/>
        <w:spacing w:line="360" w:lineRule="auto"/>
        <w:ind w:right="6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1595AC" w14:textId="77777777" w:rsidR="0047141B" w:rsidRDefault="0047141B" w:rsidP="0047141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725BB">
        <w:rPr>
          <w:rFonts w:ascii="Times New Roman" w:hAnsi="Times New Roman" w:cs="Times New Roman"/>
          <w:sz w:val="24"/>
          <w:szCs w:val="24"/>
        </w:rPr>
        <w:t>Армирование внутреннего и наружного слоя выполняется арматурой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 xml:space="preserve">классов A500С по ГОСТ 34028-2016, В500С по ГОСТ </w:t>
      </w:r>
      <w:r>
        <w:rPr>
          <w:rFonts w:ascii="Times New Roman" w:hAnsi="Times New Roman" w:cs="Times New Roman"/>
          <w:sz w:val="24"/>
          <w:szCs w:val="24"/>
        </w:rPr>
        <w:t xml:space="preserve">52544-2006,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</w:rPr>
        <w:t>-I по ГОСТ6727-80*.</w:t>
      </w:r>
    </w:p>
    <w:p w14:paraId="7E1BCE95" w14:textId="77777777" w:rsidR="0047141B" w:rsidRDefault="0047141B" w:rsidP="0047141B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Панели </w:t>
      </w:r>
      <w:r w:rsidRPr="00C725BB">
        <w:rPr>
          <w:rFonts w:ascii="Times New Roman" w:hAnsi="Times New Roman" w:cs="Times New Roman"/>
          <w:sz w:val="24"/>
          <w:szCs w:val="24"/>
        </w:rPr>
        <w:t xml:space="preserve">устанавливается на монолитную </w:t>
      </w:r>
      <w:r>
        <w:rPr>
          <w:rFonts w:ascii="Times New Roman" w:hAnsi="Times New Roman" w:cs="Times New Roman"/>
          <w:sz w:val="24"/>
          <w:szCs w:val="24"/>
        </w:rPr>
        <w:t xml:space="preserve">плиту покрытия через постель из </w:t>
      </w:r>
      <w:r w:rsidRPr="00C725BB">
        <w:rPr>
          <w:rFonts w:ascii="Times New Roman" w:hAnsi="Times New Roman" w:cs="Times New Roman"/>
          <w:sz w:val="24"/>
          <w:szCs w:val="24"/>
        </w:rPr>
        <w:t>растворного шва и соединяется с ней пр</w:t>
      </w:r>
      <w:r>
        <w:rPr>
          <w:rFonts w:ascii="Times New Roman" w:hAnsi="Times New Roman" w:cs="Times New Roman"/>
          <w:sz w:val="24"/>
          <w:szCs w:val="24"/>
        </w:rPr>
        <w:t xml:space="preserve">и помощи закладных деталей. Для </w:t>
      </w:r>
      <w:r w:rsidRPr="00C725BB">
        <w:rPr>
          <w:rFonts w:ascii="Times New Roman" w:hAnsi="Times New Roman" w:cs="Times New Roman"/>
          <w:sz w:val="24"/>
          <w:szCs w:val="24"/>
        </w:rPr>
        <w:t>фиксации панелей парапета устана</w:t>
      </w:r>
      <w:r>
        <w:rPr>
          <w:rFonts w:ascii="Times New Roman" w:hAnsi="Times New Roman" w:cs="Times New Roman"/>
          <w:sz w:val="24"/>
          <w:szCs w:val="24"/>
        </w:rPr>
        <w:t xml:space="preserve">вливаются контрфорсы – сборные </w:t>
      </w:r>
      <w:r w:rsidRPr="00C725BB">
        <w:rPr>
          <w:rFonts w:ascii="Times New Roman" w:hAnsi="Times New Roman" w:cs="Times New Roman"/>
          <w:sz w:val="24"/>
          <w:szCs w:val="24"/>
        </w:rPr>
        <w:t xml:space="preserve">железобетонные элементы толщиной 160, а </w:t>
      </w:r>
      <w:r>
        <w:rPr>
          <w:rFonts w:ascii="Times New Roman" w:hAnsi="Times New Roman" w:cs="Times New Roman"/>
          <w:sz w:val="24"/>
          <w:szCs w:val="24"/>
        </w:rPr>
        <w:t xml:space="preserve">также монолитные железобетонные </w:t>
      </w:r>
      <w:r w:rsidRPr="00C725BB">
        <w:rPr>
          <w:rFonts w:ascii="Times New Roman" w:hAnsi="Times New Roman" w:cs="Times New Roman"/>
          <w:sz w:val="24"/>
          <w:szCs w:val="24"/>
        </w:rPr>
        <w:t>столбики, высотой 1500мм от верха плиты покрытия.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5BB">
        <w:rPr>
          <w:rFonts w:ascii="Times New Roman" w:hAnsi="Times New Roman" w:cs="Times New Roman"/>
          <w:sz w:val="24"/>
          <w:szCs w:val="24"/>
        </w:rPr>
        <w:t>Крепление панелей парапета к кон</w:t>
      </w:r>
      <w:r>
        <w:rPr>
          <w:rFonts w:ascii="Times New Roman" w:hAnsi="Times New Roman" w:cs="Times New Roman"/>
          <w:sz w:val="24"/>
          <w:szCs w:val="24"/>
        </w:rPr>
        <w:t xml:space="preserve">трфорсам и монолитным столбикам </w:t>
      </w:r>
      <w:r w:rsidRPr="00C725BB">
        <w:rPr>
          <w:rFonts w:ascii="Times New Roman" w:hAnsi="Times New Roman" w:cs="Times New Roman"/>
          <w:sz w:val="24"/>
          <w:szCs w:val="24"/>
        </w:rPr>
        <w:t>осуществляется посредством сталь</w:t>
      </w:r>
      <w:r>
        <w:rPr>
          <w:rFonts w:ascii="Times New Roman" w:hAnsi="Times New Roman" w:cs="Times New Roman"/>
          <w:sz w:val="24"/>
          <w:szCs w:val="24"/>
        </w:rPr>
        <w:t xml:space="preserve">ных связей и закладных деталей, </w:t>
      </w:r>
      <w:r w:rsidRPr="00C725BB">
        <w:rPr>
          <w:rFonts w:ascii="Times New Roman" w:hAnsi="Times New Roman" w:cs="Times New Roman"/>
          <w:sz w:val="24"/>
          <w:szCs w:val="24"/>
        </w:rPr>
        <w:t xml:space="preserve">установленных в панелях </w:t>
      </w:r>
      <w:r>
        <w:rPr>
          <w:rFonts w:ascii="Times New Roman" w:hAnsi="Times New Roman" w:cs="Times New Roman"/>
          <w:sz w:val="24"/>
          <w:szCs w:val="24"/>
        </w:rPr>
        <w:t xml:space="preserve">парапета и </w:t>
      </w:r>
      <w:r w:rsidRPr="00C725BB">
        <w:rPr>
          <w:rFonts w:ascii="Times New Roman" w:hAnsi="Times New Roman" w:cs="Times New Roman"/>
          <w:sz w:val="24"/>
          <w:szCs w:val="24"/>
        </w:rPr>
        <w:t>контрфорсах.</w:t>
      </w:r>
    </w:p>
    <w:p w14:paraId="18D20998" w14:textId="77777777" w:rsidR="003665E3" w:rsidRDefault="003665E3"/>
    <w:sectPr w:rsidR="00366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B1A92"/>
    <w:multiLevelType w:val="hybridMultilevel"/>
    <w:tmpl w:val="247A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1B"/>
    <w:rsid w:val="003665E3"/>
    <w:rsid w:val="00452D54"/>
    <w:rsid w:val="0047141B"/>
    <w:rsid w:val="007536CF"/>
    <w:rsid w:val="009C694C"/>
    <w:rsid w:val="00A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8949"/>
  <w15:chartTrackingRefBased/>
  <w15:docId w15:val="{247EFA3D-1521-453F-9DE1-26094219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4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47141B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rsid w:val="00471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Коляскина Наталья Павловна</dc:creator>
  <cp:keywords/>
  <dc:description/>
  <cp:lastModifiedBy>Виноградова Светлана Петровна</cp:lastModifiedBy>
  <cp:revision>3</cp:revision>
  <dcterms:created xsi:type="dcterms:W3CDTF">2025-02-06T13:38:00Z</dcterms:created>
  <dcterms:modified xsi:type="dcterms:W3CDTF">2025-02-06T14:48:00Z</dcterms:modified>
</cp:coreProperties>
</file>