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widowControl w:val="off"/>
        <w:tabs>
          <w:tab w:val="left" w:pos="-180" w:leader="none"/>
          <w:tab w:val="left" w:pos="426" w:leader="none"/>
        </w:tabs>
        <w:rPr>
          <w:rFonts w:ascii="Times New Roman" w:hAnsi="Times New Roman" w:eastAsia="Batang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  <w:t xml:space="preserve">Приложение №          к договору №            от                 г.</w:t>
      </w: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</w:p>
    <w:tbl>
      <w:tblPr>
        <w:tblpPr w:horzAnchor="margin" w:tblpXSpec="left" w:vertAnchor="text" w:tblpY="151" w:leftFromText="180" w:topFromText="0" w:rightFromText="180" w:bottomFromText="0"/>
        <w:tblW w:w="10290" w:type="dxa"/>
        <w:tblLook w:val="00A0" w:firstRow="1" w:lastRow="0" w:firstColumn="1" w:lastColumn="0" w:noHBand="0" w:noVBand="0"/>
      </w:tblPr>
      <w:tblGrid>
        <w:gridCol w:w="5096"/>
        <w:gridCol w:w="5194"/>
      </w:tblGrid>
      <w:tr>
        <w:tblPrEx/>
        <w:trPr/>
        <w:tc>
          <w:tcPr>
            <w:shd w:val="clear" w:color="auto" w:fill="auto"/>
            <w:tcW w:w="50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 «СОГЛАСОВАНО»                                   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  <w:t xml:space="preserve">ООО «Проектное бюро Апекс»</w:t>
            </w: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                      (Организация)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  <w:t xml:space="preserve">Генеральный директор</w:t>
            </w: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                       (Должность)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u w:val="single"/>
                <w:lang w:eastAsia="ru-RU"/>
              </w:rPr>
              <w:t xml:space="preserve">                                       Ю.М. Матвеев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             (Подпись, И. О. Фамилия)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М.П. «_____» ____________20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51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«УТВЕРЖДЕНО»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ООО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ГП-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МФС»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(Организация)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  <w:t xml:space="preserve">Генеральный директор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(Должность)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   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Е.О. Карапетян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    (Подпись, И. О. Фамилия)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М.П. «_____» ____________20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50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51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tabs>
          <w:tab w:val="left" w:pos="-180" w:leader="none"/>
          <w:tab w:val="left" w:pos="426" w:leader="none"/>
        </w:tabs>
        <w:rPr>
          <w:rFonts w:ascii="Times New Roman" w:hAnsi="Times New Roman" w:eastAsia="Batang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tabs>
          <w:tab w:val="left" w:pos="-180" w:leader="none"/>
          <w:tab w:val="left" w:pos="426" w:leader="none"/>
        </w:tabs>
        <w:rPr>
          <w:rFonts w:ascii="Times New Roman" w:hAnsi="Times New Roman" w:eastAsia="Batang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tabs>
          <w:tab w:val="left" w:pos="-180" w:leader="none"/>
          <w:tab w:val="left" w:pos="426" w:leader="none"/>
        </w:tabs>
        <w:rPr>
          <w:rFonts w:ascii="Times New Roman" w:hAnsi="Times New Roman" w:eastAsia="Batang" w:cs="Times New Roman"/>
          <w:b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  <w:t xml:space="preserve">ТЕХНИЧЕСКОЕ ЗАДАНИЕ</w:t>
      </w:r>
      <w:r>
        <w:rPr>
          <w:rFonts w:ascii="Times New Roman" w:hAnsi="Times New Roman" w:eastAsia="Batang" w:cs="Times New Roman"/>
          <w:b/>
          <w:sz w:val="24"/>
          <w:szCs w:val="24"/>
          <w:lang w:eastAsia="ru-RU"/>
        </w:rPr>
      </w:r>
    </w:p>
    <w:p>
      <w:pPr>
        <w:ind w:left="35"/>
        <w:jc w:val="center"/>
        <w:spacing w:after="0" w:line="240" w:lineRule="auto"/>
        <w:widowControl w:val="off"/>
        <w:tabs>
          <w:tab w:val="left" w:pos="249" w:leader="none"/>
        </w:tabs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Andale Sans UI" w:cs="Times New Roman"/>
          <w:sz w:val="24"/>
          <w:szCs w:val="16"/>
          <w:lang w:eastAsia="ru-RU"/>
        </w:rPr>
        <w:t xml:space="preserve">на выполнение инженерно-экологических изысканий </w:t>
      </w:r>
      <w:r>
        <w:rPr>
          <w:rFonts w:ascii="Times New Roman" w:hAnsi="Times New Roman" w:eastAsia="Andale Sans UI" w:cs="Times New Roman"/>
          <w:sz w:val="24"/>
          <w:szCs w:val="24"/>
          <w:lang w:eastAsia="ru-RU"/>
        </w:rPr>
        <w:t xml:space="preserve">для</w:t>
      </w:r>
      <w:r>
        <w:rPr>
          <w:rFonts w:ascii="Times New Roman" w:hAnsi="Times New Roman" w:eastAsia="Andale Sans UI" w:cs="Times New Roman"/>
          <w:sz w:val="24"/>
          <w:szCs w:val="24"/>
          <w:lang w:eastAsia="ru-RU"/>
        </w:rPr>
        <w:t xml:space="preserve"> строительств</w:t>
      </w:r>
      <w:r>
        <w:rPr>
          <w:rFonts w:ascii="Times New Roman" w:hAnsi="Times New Roman" w:eastAsia="Andale Sans UI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</w:r>
    </w:p>
    <w:p>
      <w:pPr>
        <w:ind w:left="35"/>
        <w:jc w:val="center"/>
        <w:spacing w:after="0" w:line="240" w:lineRule="auto"/>
        <w:widowControl w:val="off"/>
        <w:tabs>
          <w:tab w:val="left" w:pos="249" w:leader="none"/>
        </w:tabs>
        <w:rPr>
          <w:rFonts w:ascii="Times New Roman" w:hAnsi="Times New Roman" w:eastAsia="Andale Sans UI" w:cs="Times New Roman"/>
          <w:lang w:eastAsia="ru-RU"/>
        </w:rPr>
      </w:pPr>
      <w:r>
        <w:rPr>
          <w:rFonts w:ascii="Times New Roman" w:hAnsi="Times New Roman" w:eastAsia="Andale Sans UI" w:cs="Times New Roman"/>
          <w:lang w:eastAsia="ru-RU"/>
        </w:rPr>
      </w:r>
      <w:r>
        <w:rPr>
          <w:rFonts w:ascii="Times New Roman" w:hAnsi="Times New Roman" w:eastAsia="Andale Sans UI" w:cs="Times New Roman"/>
          <w:lang w:eastAsia="ru-RU"/>
        </w:rPr>
      </w:r>
    </w:p>
    <w:tbl>
      <w:tblPr>
        <w:tblW w:w="1269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3402"/>
        <w:gridCol w:w="2149"/>
        <w:gridCol w:w="2575"/>
      </w:tblGrid>
      <w:tr>
        <w:tblPrEx/>
        <w:trPr>
          <w:gridAfter w:val="1"/>
          <w:trHeight w:val="76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п/п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Перечень основных данных и требований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numPr>
                <w:ilvl w:val="3"/>
                <w:numId w:val="2"/>
              </w:numPr>
              <w:jc w:val="center"/>
              <w:keepNext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Основные данные и требования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</w:tr>
      <w:tr>
        <w:tblPrEx/>
        <w:trPr>
          <w:gridAfter w:val="1"/>
          <w:trHeight w:val="76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Объект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jc w:val="both"/>
              <w:spacing w:after="0"/>
              <w:widowControl w:val="off"/>
              <w:tabs>
                <w:tab w:val="left" w:pos="567" w:leader="none"/>
                <w:tab w:val="left" w:pos="1908" w:leader="none"/>
              </w:tabs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Жилая застройка по адресу: г. Москва, район Северное Измайлово, Сиреневый бульвар, вл.4, </w:t>
            </w: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з/у </w:t>
            </w: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 (Для программы реновации) (Восточный административный округ)</w:t>
            </w: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</w:r>
          </w:p>
        </w:tc>
      </w:tr>
      <w:tr>
        <w:tblPrEx/>
        <w:trPr>
          <w:gridAfter w:val="1"/>
          <w:trHeight w:val="52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Адрес объекта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widowControl w:val="off"/>
              <w:tabs>
                <w:tab w:val="left" w:pos="567" w:leader="none"/>
                <w:tab w:val="left" w:pos="1908" w:leader="none"/>
              </w:tabs>
              <w:rPr>
                <w:rFonts w:ascii="Times New Roman" w:hAnsi="Times New Roman" w:eastAsia="Andale Sans UI"/>
                <w:lang w:eastAsia="ru-RU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eastAsia="ru-RU"/>
              </w:rPr>
              <w:t xml:space="preserve">г. Москва, район Северное Измайлово, Сиреневый бульвар, вл.4 (Для программы реновации) (Восточный административный округ</w:t>
            </w:r>
            <w:r>
              <w:rPr>
                <w:rFonts w:ascii="Times New Roman" w:hAnsi="Times New Roman" w:eastAsia="Andale Sans UI"/>
                <w:lang w:eastAsia="ru-RU"/>
              </w:rPr>
            </w:r>
          </w:p>
        </w:tc>
      </w:tr>
      <w:tr>
        <w:tblPrEx/>
        <w:trPr>
          <w:gridAfter w:val="1"/>
          <w:trHeight w:val="41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Вид строительства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Новое строительство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418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Стадия изысканий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Подготовка проектной документации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76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Технический заказчик/ Застройщик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1134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ООО «ГП-МФС»;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121471, г. Москва, ул. Рябиновая, 22А, стр.2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76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Ответственный представитель (ФИО), контакты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1134" w:leader="none"/>
              </w:tabs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gridAfter w:val="1"/>
          <w:trHeight w:val="55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Исполнитель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1134" w:leader="none"/>
              </w:tabs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gridAfter w:val="1"/>
          <w:trHeight w:val="54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Геотехническая категория объекта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56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Площадь земельного участка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1,6267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га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54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Площадь застройки 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4966,12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bCs/>
                <w:vertAlign w:val="superscript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gridAfter w:val="1"/>
          <w:trHeight w:val="41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Заглубление от поверхности земли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vAlign w:val="center"/>
            <w:textDirection w:val="lrTb"/>
            <w:noWrap w:val="false"/>
          </w:tcPr>
          <w:p>
            <w:pPr>
              <w:ind w:left="864" w:hanging="864"/>
              <w:keepNext/>
              <w:spacing w:after="0" w:line="240" w:lineRule="auto"/>
              <w:widowControl w:val="off"/>
              <w:tabs>
                <w:tab w:val="num" w:pos="864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До 8 м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cantSplit/>
          <w:gridAfter w:val="1"/>
          <w:trHeight w:val="56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Наличие подвала, его назначение и заглубление от поверхности земли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tabs>
                <w:tab w:val="left" w:pos="462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Есть, паркинг  до -6,0 м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Характеристики территории строительства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а) наличие водоемов и их площадь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б) наличие насыпных грунтов и их мощность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в) характеристика грунтовой поверхности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г) характер прежнего использования земельного участка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Отсутствуют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Нет данных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Спланирована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highlight w:val="yellow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Городская административная застройка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ind w:left="142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Технические требования к результату работ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Работы выполнить в соответствии с требованиями: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СП 47.13330. 2012«Инженерные изыскания для строительства. Основные положения. 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Актуализирован-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ная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 редакция СНиП 11-02-96».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- СП 11-102-97 «Инженерно-экологические изыскания для строительства»;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- СанПин 2.6.1.2523-09 «Нормы радиационной безопасности (НРБ-99/2009). 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t xml:space="preserve">- </w:t>
            </w:r>
            <w:hyperlink r:id="rId9" w:tooltip="normacs://normacs.ru/1TNBP?dob=44317.000093&amp;dol=44358.499641" w:history="1">
              <w:r>
                <w:rPr>
                  <w:rStyle w:val="642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 xml:space="preserve">СанПиН 1.2.3685-21 "Гигиенические нормативы и требования к обеспечению безопасности и (или) безвредности для человека факторов среды обитания"</w:t>
              </w:r>
            </w:hyperlink>
            <w:r>
              <w:rPr>
                <w:rStyle w:val="642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 - Технического задания Заказчика.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- других государственных стандартов и нормативных документов по инженерно- экологическим изысканиям и исследованиям.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gridAfter w:val="1"/>
          <w:trHeight w:val="240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Особые условия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Лабораторные исследования для оценки качества и загрязненности компонентов природной среды выполнить в аккредитованных лабораториях согласно унифицированным методикам и государственным стандартам.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Исходная документация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- Схема размещения зданий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</w:tcBorders>
            <w:tcW w:w="3856" w:type="dxa"/>
            <w:vMerge w:val="restart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Состав изысканий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Вид изысканий (исследований)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Необходимость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  <w:t xml:space="preserve">(да, нет)</w:t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Радиологические, включая измерения плотности потока радона 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Токсико-химические 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Микробиологические и бактериологические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Газогеохимические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ind w:left="142"/>
              <w:spacing w:after="120" w:line="240" w:lineRule="auto"/>
              <w:widowControl w:val="off"/>
              <w:rPr>
                <w:rFonts w:ascii="Times New Roman" w:hAnsi="Times New Roman" w:eastAsia="Andale Sans UI" w:cs="Times New Roman"/>
                <w:b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Исследования шума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да*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contextualSpacing/>
              <w:ind w:left="360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Исследования электромагнитных полей 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При необходимости по доп. соглашению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>
          <w:trHeight w:val="0"/>
        </w:trPr>
        <w:tc>
          <w:tcPr>
            <w:shd w:val="clear" w:color="auto" w:fill="auto"/>
            <w:tcBorders>
              <w:left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contextualSpacing/>
              <w:ind w:left="360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Получение фоновой и климатической справки и экспертных заключений ФБУЗ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4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да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3856" w:type="dxa"/>
            <w:vMerge w:val="continue"/>
            <w:textDirection w:val="lrTb"/>
            <w:noWrap w:val="false"/>
          </w:tcPr>
          <w:p>
            <w:pPr>
              <w:contextualSpacing/>
              <w:ind w:left="360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  <w:r>
              <w:rPr>
                <w:rFonts w:ascii="Times New Roman" w:hAnsi="Times New Roman" w:eastAsia="Calibri" w:cs="Times New Roman"/>
                <w:b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contextualSpacing/>
              <w:ind w:left="360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 xml:space="preserve">Перечень существующих материалов инженерно-экологических изысканий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Нет данных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6" w:type="dxa"/>
            <w:textDirection w:val="lrTb"/>
            <w:noWrap w:val="false"/>
          </w:tcPr>
          <w:p>
            <w:pPr>
              <w:contextualSpacing/>
              <w:ind w:left="360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 xml:space="preserve">Материалы, передаваемые Заказчику (результат работ)</w:t>
            </w:r>
            <w:r>
              <w:rPr>
                <w:rFonts w:ascii="Times New Roman" w:hAnsi="Times New Roman" w:eastAsia="Calibri" w:cs="Times New Roman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51" w:type="dxa"/>
            <w:textDirection w:val="lrTb"/>
            <w:noWrap w:val="false"/>
          </w:tcPr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Технический отчет о результатах инженерно-экологических изысканий с приложениями на бумажном носителе - 4 (четыре) экземпляра;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  <w:p>
            <w:pPr>
              <w:ind w:left="35"/>
              <w:spacing w:after="0" w:line="240" w:lineRule="auto"/>
              <w:widowControl w:val="off"/>
              <w:tabs>
                <w:tab w:val="left" w:pos="249" w:leader="none"/>
              </w:tabs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Электронная копия технического отчета в формате PDF и формате 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AutoCad</w:t>
            </w:r>
            <w:r>
              <w:rPr>
                <w:rFonts w:ascii="Times New Roman" w:hAnsi="Times New Roman" w:eastAsia="Andale Sans UI" w:cs="Times New Roman"/>
                <w:lang w:eastAsia="ru-RU"/>
              </w:rPr>
              <w:t xml:space="preserve"> на оптическом диске - 1 (один) экземпляр.</w:t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  <w:tc>
          <w:tcPr>
            <w:tcW w:w="25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Andale Sans UI" w:cs="Times New Roman"/>
                <w:lang w:eastAsia="ru-RU"/>
              </w:rPr>
            </w:pPr>
            <w:r>
              <w:rPr>
                <w:rFonts w:ascii="Times New Roman" w:hAnsi="Times New Roman" w:eastAsia="Andale Sans UI" w:cs="Times New Roman"/>
                <w:lang w:eastAsia="ru-RU"/>
              </w:rPr>
            </w:r>
            <w:r>
              <w:rPr>
                <w:rFonts w:ascii="Times New Roman" w:hAnsi="Times New Roman" w:eastAsia="Andale Sans UI" w:cs="Times New Roman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Andale Sans UI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Andale Sans UI" w:cs="Times New Roman"/>
          <w:b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Andale Sans UI" w:cs="Times New Roman"/>
          <w:b/>
          <w:lang w:eastAsia="ru-RU"/>
        </w:rPr>
        <w:t xml:space="preserve">*</w:t>
      </w:r>
      <w:r>
        <w:rPr>
          <w:rFonts w:ascii="Times New Roman" w:hAnsi="Times New Roman" w:cs="Times New Roman"/>
        </w:rPr>
        <w:t xml:space="preserve"> На усмотрение заказчика. При наличии справки Генплана об интенсивности дорожного движения (шумовая характеристика транспортных потоков) - замеры исключить.</w:t>
      </w:r>
      <w:r>
        <w:rPr>
          <w:rFonts w:ascii="Times New Roman" w:hAnsi="Times New Roman" w:eastAsia="Andale Sans UI" w:cs="Times New Roman"/>
          <w:b/>
          <w:lang w:eastAsia="ru-RU"/>
        </w:rPr>
      </w:r>
    </w:p>
    <w:p>
      <w:pPr>
        <w:ind w:left="35"/>
        <w:jc w:val="both"/>
        <w:spacing w:after="0" w:line="240" w:lineRule="auto"/>
        <w:widowControl w:val="off"/>
        <w:tabs>
          <w:tab w:val="left" w:pos="249" w:leader="none"/>
        </w:tabs>
        <w:rPr>
          <w:rFonts w:ascii="Times New Roman" w:hAnsi="Times New Roman" w:eastAsia="Andale Sans UI" w:cs="Times New Roman"/>
          <w:sz w:val="24"/>
          <w:szCs w:val="24"/>
          <w:lang w:eastAsia="ru-RU"/>
        </w:rPr>
      </w:pPr>
      <w:r>
        <w:rPr>
          <w:rFonts w:ascii="Times New Roman" w:hAnsi="Times New Roman" w:eastAsia="Andale Sans UI" w:cs="Times New Roman"/>
          <w:sz w:val="24"/>
          <w:szCs w:val="24"/>
          <w:lang w:eastAsia="ru-RU"/>
        </w:rPr>
        <w:br w:type="page" w:clear="all"/>
      </w:r>
      <w:r>
        <w:rPr>
          <w:rFonts w:ascii="Times New Roman" w:hAnsi="Times New Roman" w:eastAsia="Andale Sans UI" w:cs="Times New Roman"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 w:eastAsia="Batang" w:cs="Times New Roman"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sz w:val="24"/>
          <w:szCs w:val="24"/>
          <w:lang w:eastAsia="ru-RU"/>
        </w:rPr>
        <w:t xml:space="preserve">Приложение 1</w:t>
      </w:r>
      <w:r>
        <w:rPr>
          <w:rFonts w:ascii="Times New Roman" w:hAnsi="Times New Roman" w:eastAsia="Batang" w:cs="Times New Roman"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eastAsia="Batang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b/>
          <w:sz w:val="28"/>
          <w:szCs w:val="28"/>
          <w:lang w:eastAsia="ru-RU"/>
        </w:rPr>
        <w:t xml:space="preserve">Схема генерального плана</w:t>
      </w:r>
      <w:r>
        <w:rPr>
          <w:rFonts w:ascii="Times New Roman" w:hAnsi="Times New Roman" w:eastAsia="Batang" w:cs="Times New Roman"/>
          <w:b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 w:eastAsia="Batang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b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 w:eastAsia="Andale Sans UI" w:cs="Times New Roman"/>
          <w:sz w:val="24"/>
          <w:szCs w:val="24"/>
          <w:lang w:eastAsia="ru-RU"/>
        </w:rPr>
      </w:pPr>
      <w:r>
        <w:rPr>
          <w:rFonts w:ascii="Times New Roman" w:hAnsi="Times New Roman" w:eastAsia="Andale Sans UI" w:cs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1285875</wp:posOffset>
                </wp:positionV>
                <wp:extent cx="6645910" cy="7668260"/>
                <wp:effectExtent l="0" t="0" r="2540" b="8890"/>
                <wp:wrapTight wrapText="bothSides">
                  <wp:wrapPolygon edited="1">
                    <wp:start x="0" y="0"/>
                    <wp:lineTo x="0" y="21571"/>
                    <wp:lineTo x="21546" y="21571"/>
                    <wp:lineTo x="21546" y="0"/>
                    <wp:lineTo x="0" y="0"/>
                  </wp:wrapPolygon>
                </wp:wrapTight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645910" cy="766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page;margin-left:33.75pt;mso-position-horizontal:absolute;mso-position-vertical-relative:page;margin-top:101.25pt;mso-position-vertical:absolute;width:523.30pt;height:603.80pt;mso-wrap-distance-left:9.00pt;mso-wrap-distance-top:0.00pt;mso-wrap-distance-right:9.00pt;mso-wrap-distance-bottom:0.00pt;" wrapcoords="0 0 0 99866 99750 99866 99750 0 0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Andale Sans UI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Batang">
    <w:panose1 w:val="02020603020101020101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506030602030204"/>
  </w:font>
  <w:font w:name="Andale Sans UI"/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540" w:hanging="360"/>
        <w:tabs>
          <w:tab w:val="num" w:pos="54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3"/>
    <w:next w:val="63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3"/>
    <w:next w:val="63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3"/>
    <w:next w:val="63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3"/>
    <w:next w:val="6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3"/>
    <w:next w:val="6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3"/>
    <w:next w:val="6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3"/>
    <w:next w:val="6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3"/>
    <w:next w:val="6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3"/>
    <w:next w:val="6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3"/>
    <w:next w:val="63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4"/>
    <w:link w:val="34"/>
    <w:uiPriority w:val="10"/>
    <w:rPr>
      <w:sz w:val="48"/>
      <w:szCs w:val="48"/>
    </w:rPr>
  </w:style>
  <w:style w:type="paragraph" w:styleId="36">
    <w:name w:val="Subtitle"/>
    <w:basedOn w:val="633"/>
    <w:next w:val="6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4"/>
    <w:link w:val="36"/>
    <w:uiPriority w:val="11"/>
    <w:rPr>
      <w:sz w:val="24"/>
      <w:szCs w:val="24"/>
    </w:rPr>
  </w:style>
  <w:style w:type="paragraph" w:styleId="38">
    <w:name w:val="Quote"/>
    <w:basedOn w:val="633"/>
    <w:next w:val="6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3"/>
    <w:next w:val="6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4"/>
    <w:link w:val="42"/>
    <w:uiPriority w:val="99"/>
  </w:style>
  <w:style w:type="paragraph" w:styleId="44">
    <w:name w:val="Footer"/>
    <w:basedOn w:val="63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4"/>
    <w:link w:val="44"/>
    <w:uiPriority w:val="99"/>
  </w:style>
  <w:style w:type="paragraph" w:styleId="46">
    <w:name w:val="Caption"/>
    <w:basedOn w:val="633"/>
    <w:next w:val="6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4"/>
    <w:uiPriority w:val="99"/>
    <w:unhideWhenUsed/>
    <w:rPr>
      <w:vertAlign w:val="superscript"/>
    </w:rPr>
  </w:style>
  <w:style w:type="paragraph" w:styleId="178">
    <w:name w:val="endnote text"/>
    <w:basedOn w:val="63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4"/>
    <w:uiPriority w:val="99"/>
    <w:semiHidden/>
    <w:unhideWhenUsed/>
    <w:rPr>
      <w:vertAlign w:val="superscript"/>
    </w:rPr>
  </w:style>
  <w:style w:type="paragraph" w:styleId="181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character" w:styleId="634" w:default="1">
    <w:name w:val="Default Paragraph Font"/>
    <w:uiPriority w:val="1"/>
    <w:semiHidden/>
    <w:unhideWhenUsed/>
  </w:style>
  <w:style w:type="table" w:styleId="6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6" w:default="1">
    <w:name w:val="No List"/>
    <w:uiPriority w:val="99"/>
    <w:semiHidden/>
    <w:unhideWhenUsed/>
  </w:style>
  <w:style w:type="paragraph" w:styleId="637">
    <w:name w:val="List Paragraph"/>
    <w:basedOn w:val="633"/>
    <w:uiPriority w:val="34"/>
    <w:qFormat/>
    <w:pPr>
      <w:contextualSpacing/>
      <w:ind w:left="720"/>
    </w:pPr>
  </w:style>
  <w:style w:type="paragraph" w:styleId="638">
    <w:name w:val="Body Text Indent 3"/>
    <w:basedOn w:val="633"/>
    <w:link w:val="639"/>
    <w:uiPriority w:val="99"/>
    <w:unhideWhenUsed/>
    <w:pPr>
      <w:ind w:left="283"/>
      <w:spacing w:after="120" w:line="240" w:lineRule="auto"/>
      <w:widowControl w:val="off"/>
    </w:pPr>
    <w:rPr>
      <w:rFonts w:ascii="Times New Roman" w:hAnsi="Times New Roman" w:eastAsia="Andale Sans UI" w:cs="Times New Roman"/>
      <w:sz w:val="16"/>
      <w:szCs w:val="16"/>
      <w:lang w:eastAsia="ru-RU"/>
    </w:rPr>
  </w:style>
  <w:style w:type="character" w:styleId="639" w:customStyle="1">
    <w:name w:val="Основной текст с отступом 3 Знак"/>
    <w:basedOn w:val="634"/>
    <w:link w:val="638"/>
    <w:uiPriority w:val="99"/>
    <w:rPr>
      <w:rFonts w:ascii="Times New Roman" w:hAnsi="Times New Roman" w:eastAsia="Andale Sans UI" w:cs="Times New Roman"/>
      <w:sz w:val="16"/>
      <w:szCs w:val="16"/>
      <w:lang w:eastAsia="ru-RU"/>
    </w:rPr>
  </w:style>
  <w:style w:type="paragraph" w:styleId="640">
    <w:name w:val="Balloon Text"/>
    <w:basedOn w:val="633"/>
    <w:link w:val="64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1" w:customStyle="1">
    <w:name w:val="Текст выноски Знак"/>
    <w:basedOn w:val="634"/>
    <w:link w:val="640"/>
    <w:uiPriority w:val="99"/>
    <w:semiHidden/>
    <w:rPr>
      <w:rFonts w:ascii="Tahoma" w:hAnsi="Tahoma" w:cs="Tahoma"/>
      <w:sz w:val="16"/>
      <w:szCs w:val="16"/>
    </w:rPr>
  </w:style>
  <w:style w:type="character" w:styleId="642">
    <w:name w:val="Hyperlink"/>
    <w:basedOn w:val="634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normacs://normacs.ru/1TNBP?dob=44317.000093&amp;dol=44358.499641" TargetMode="External"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 Валерий</dc:creator>
  <cp:lastModifiedBy>Кирилл Александров</cp:lastModifiedBy>
  <cp:revision>51</cp:revision>
  <dcterms:created xsi:type="dcterms:W3CDTF">2018-02-14T15:01:00Z</dcterms:created>
  <dcterms:modified xsi:type="dcterms:W3CDTF">2026-05-26T10:19:44Z</dcterms:modified>
</cp:coreProperties>
</file>