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Open Sans" w:hAnsi="Open Sans" w:cs="Open Sans"/>
          <w:b/>
          <w:sz w:val="24"/>
          <w:szCs w:val="24"/>
        </w:rPr>
      </w:pPr>
      <w:r>
        <w:rPr>
          <w:rFonts w:ascii="Open Sans" w:hAnsi="Open Sans" w:eastAsia="Open Sans" w:cs="Open Sans"/>
          <w:b/>
          <w:sz w:val="24"/>
          <w:szCs w:val="24"/>
          <w:rtl w:val="0"/>
        </w:rPr>
        <w:t xml:space="preserve">Лист изменений</w:t>
      </w:r>
      <w:r>
        <w:rPr>
          <w:rFonts w:ascii="Open Sans" w:hAnsi="Open Sans" w:cs="Open Sans"/>
          <w:b/>
          <w:sz w:val="24"/>
          <w:szCs w:val="24"/>
        </w:rPr>
      </w:r>
      <w:r>
        <w:rPr>
          <w:rFonts w:ascii="Open Sans" w:hAnsi="Open Sans" w:cs="Open Sans"/>
          <w:b/>
          <w:sz w:val="24"/>
          <w:szCs w:val="24"/>
        </w:rPr>
      </w:r>
    </w:p>
    <w:p>
      <w:pPr>
        <w:jc w:val="center"/>
        <w:rPr>
          <w:rFonts w:ascii="Open Sans" w:hAnsi="Open Sans" w:cs="Open Sans"/>
          <w:b/>
          <w:sz w:val="24"/>
          <w:szCs w:val="24"/>
        </w:rPr>
      </w:pPr>
      <w:r>
        <w:rPr>
          <w:rFonts w:ascii="Open Sans" w:hAnsi="Open Sans" w:eastAsia="Open Sans" w:cs="Open Sans"/>
          <w:b/>
          <w:sz w:val="24"/>
          <w:szCs w:val="24"/>
          <w:rtl w:val="0"/>
        </w:rPr>
        <w:t xml:space="preserve">к ЖД-ТАС-РЕН-АР-ТУ.ТЭ. Альбом типовых узлов. Типовые этажи. Версия 2</w:t>
      </w:r>
      <w:r>
        <w:rPr>
          <w:rFonts w:ascii="Open Sans" w:hAnsi="Open Sans" w:cs="Open Sans"/>
          <w:b/>
          <w:sz w:val="24"/>
          <w:szCs w:val="24"/>
        </w:rPr>
      </w:r>
      <w:r>
        <w:rPr>
          <w:rFonts w:ascii="Open Sans" w:hAnsi="Open Sans" w:cs="Open Sans"/>
          <w:b/>
          <w:sz w:val="24"/>
          <w:szCs w:val="24"/>
        </w:rPr>
      </w:r>
    </w:p>
    <w:p>
      <w:pPr>
        <w:rPr>
          <w:rFonts w:ascii="Open Sans" w:hAnsi="Open Sans" w:cs="Open Sans"/>
        </w:rPr>
      </w:pPr>
      <w:r>
        <w:rPr>
          <w:rFonts w:ascii="Open Sans" w:hAnsi="Open Sans" w:eastAsia="Open Sans" w:cs="Open Sans"/>
          <w:rtl w:val="0"/>
        </w:rPr>
      </w:r>
      <w:r>
        <w:rPr>
          <w:rFonts w:ascii="Open Sans" w:hAnsi="Open Sans" w:cs="Open Sans"/>
        </w:rPr>
      </w:r>
      <w:r>
        <w:rPr>
          <w:rFonts w:ascii="Open Sans" w:hAnsi="Open Sans" w:cs="Open Sans"/>
        </w:rPr>
      </w:r>
    </w:p>
    <w:tbl>
      <w:tblPr>
        <w:tblStyle w:val="937"/>
        <w:tblW w:w="10905" w:type="dxa"/>
        <w:tblInd w:w="-2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1486"/>
        <w:gridCol w:w="1113"/>
        <w:gridCol w:w="8306"/>
        <w:tblGridChange w:id="0">
          <w:tblGrid>
            <w:gridCol w:w="1410"/>
            <w:gridCol w:w="1189"/>
            <w:gridCol w:w="8305"/>
          </w:tblGrid>
        </w:tblGridChange>
      </w:tblGrid>
      <w:tr>
        <w:tblPrEx/>
        <w:trPr>
          <w:cantSplit w:val="false"/>
        </w:trPr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Дата изменения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Лист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Содержание изменения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</w:tr>
      <w:tr>
        <w:tblPrEx/>
        <w:trPr>
          <w:cantSplit w:val="false"/>
        </w:trPr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b/>
                <w:bCs/>
                <w:sz w:val="24"/>
                <w:szCs w:val="24"/>
                <w:rtl w:val="0"/>
              </w:rPr>
              <w:t xml:space="preserve">21.02.2024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1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numPr>
                <w:ilvl w:val="0"/>
                <w:numId w:val="3"/>
              </w:numPr>
              <w:ind w:left="425" w:hanging="360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В общие указания добавлено требование к воспринимаемой нагрузке для ограждений переходных балконов и квартирных лоджий.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  <w:p>
            <w:pPr>
              <w:numPr>
                <w:ilvl w:val="0"/>
                <w:numId w:val="3"/>
              </w:numPr>
              <w:ind w:left="425" w:hanging="360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В общих указаниях расширена информация об устройстве кладки из кирпича и ячеистых бетонных блоков.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</w:tr>
      <w:tr>
        <w:tblPrEx/>
        <w:trPr>
          <w:cantSplit w:val="false"/>
        </w:trPr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2 - 3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ind w:left="425" w:hanging="283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  <w:u w:val="none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Исключение указание артикула фасадного профиля.</w:t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</w:p>
          <w:p>
            <w:pPr>
              <w:numPr>
                <w:ilvl w:val="0"/>
                <w:numId w:val="2"/>
              </w:numPr>
              <w:ind w:left="425" w:hanging="283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Фасадный профиль деформационного шва замен на профиль в накладном исполнении.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  <w:p>
            <w:pPr>
              <w:numPr>
                <w:ilvl w:val="0"/>
                <w:numId w:val="2"/>
              </w:numPr>
              <w:ind w:left="425" w:hanging="283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Исключено применение стальных пластин в устройстве деформационного шва.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</w:tr>
      <w:tr>
        <w:tblPrEx/>
        <w:trPr>
          <w:cantSplit w:val="false"/>
        </w:trPr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4, 52 - 55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numPr>
                <w:ilvl w:val="0"/>
                <w:numId w:val="10"/>
              </w:numPr>
              <w:ind w:left="425" w:hanging="283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Изменена толщина швов кладки из ячеистых бетонных блоков с 2 на 4 мм.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</w:tr>
      <w:tr>
        <w:tblPrEx/>
        <w:trPr>
          <w:cantSplit w:val="false"/>
        </w:trPr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5 -6, 9, 11, 15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numPr>
                <w:ilvl w:val="0"/>
                <w:numId w:val="11"/>
              </w:numPr>
              <w:ind w:left="425" w:hanging="283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  <w:u w:val="none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Откорректированы профили витражной конструкции и устройство нащельников в соответствии с актуальными решениями ПРЕФАБ (сечения 2-2, 3-3, 4-4, 5-5, 10-10, 11-11, узлы 6.1, 6.2, 7, 16.1, 16.2, 17).</w:t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</w:p>
        </w:tc>
      </w:tr>
      <w:tr>
        <w:tblPrEx/>
        <w:trPr>
          <w:cantSplit w:val="false"/>
        </w:trPr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6, 8, 10, 15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numPr>
                <w:ilvl w:val="0"/>
                <w:numId w:val="8"/>
              </w:numPr>
              <w:ind w:left="425" w:hanging="283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  <w:u w:val="none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Увел</w:t>
            </w: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ичена толщина утеплителя потолка лоджии квартиры инвалидов, расположенной под лоджии квартиры типового этажа и жилой комнатой, до 180 мм. В зоне 200 мм от витражной конструкции лоджии толщина утеплителя сохранена 150 мм (см. сечения 5-5, 9-9, узлы 10, 15).</w:t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</w:p>
        </w:tc>
      </w:tr>
      <w:tr>
        <w:tblPrEx/>
        <w:trPr>
          <w:cantSplit w:val="false"/>
        </w:trPr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9, 10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numPr>
                <w:ilvl w:val="0"/>
                <w:numId w:val="16"/>
              </w:numPr>
              <w:ind w:left="425" w:hanging="283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  <w:u w:val="none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Откорректирована минимальная ширина лоджии до 1000 мм.</w:t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</w:p>
        </w:tc>
      </w:tr>
      <w:tr>
        <w:tblPrEx/>
        <w:trPr>
          <w:cantSplit w:val="false"/>
        </w:trPr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17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425" w:hanging="283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Изменен контур плиты перекрытия и габариты навесной панели.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  <w:p>
            <w:pPr>
              <w:numPr>
                <w:ilvl w:val="0"/>
                <w:numId w:val="14"/>
              </w:numPr>
              <w:ind w:left="425" w:hanging="283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Указаны минимальный зазор и минимальная привязка стойки витражной конструкции лоджии.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  <w:p>
            <w:pPr>
              <w:numPr>
                <w:ilvl w:val="0"/>
                <w:numId w:val="14"/>
              </w:numPr>
              <w:ind w:left="425" w:hanging="283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Указана дополнительная марка наружной стены для утепления монолитного пилона на объекта с НП: НС-16.2 применяется при ширине пилона 250 мм, НС-16.3 применяется при ширине пилона 200 мм.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</w:tr>
      <w:tr>
        <w:tblPrEx/>
        <w:trPr>
          <w:cantSplit w:val="false"/>
        </w:trPr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19 - 20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425" w:hanging="283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Откорректированы указания по армированию кладки в соответствии с Общими указаниями по армированию кладки (армирование в каждом ряду на ⅓ высоты кладки, через 3 ряда на ⅔ высоты)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</w:tr>
      <w:tr>
        <w:tblPrEx/>
        <w:trPr>
          <w:cantSplit w:val="false"/>
        </w:trPr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20-21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numPr>
                <w:ilvl w:val="0"/>
                <w:numId w:val="13"/>
              </w:numPr>
              <w:ind w:left="425" w:hanging="283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  <w:u w:val="none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Уточнены решения по отделке откосов.</w:t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</w:p>
        </w:tc>
      </w:tr>
      <w:tr>
        <w:tblPrEx/>
        <w:trPr>
          <w:cantSplit w:val="false"/>
        </w:trPr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21, 36 - 39, 52 - 53,  55 - 57, 59 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numPr>
                <w:ilvl w:val="0"/>
                <w:numId w:val="7"/>
              </w:numPr>
              <w:ind w:left="425" w:hanging="283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  <w:u w:val="none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Указания марок отделки и их состав приведены в соответствие со стандартом отделки (версия на 02/2024).</w:t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</w:p>
        </w:tc>
      </w:tr>
      <w:tr>
        <w:tblPrEx/>
        <w:trPr>
          <w:cantSplit w:val="false"/>
        </w:trPr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27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numPr>
                <w:ilvl w:val="0"/>
                <w:numId w:val="17"/>
              </w:numPr>
              <w:ind w:left="425" w:hanging="283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  <w:u w:val="none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Узлы устройства порога СТМ приведены в соответствие с КД СТМ.</w:t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</w:p>
          <w:p>
            <w:pPr>
              <w:numPr>
                <w:ilvl w:val="0"/>
                <w:numId w:val="17"/>
              </w:numPr>
              <w:ind w:left="425" w:hanging="283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  <w:u w:val="none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Добавлен узел гидроизоляции пола СТМ в пространстве инженерных коммуникаций.</w:t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</w:p>
        </w:tc>
      </w:tr>
      <w:tr>
        <w:tblPrEx/>
        <w:trPr>
          <w:cantSplit w:val="false"/>
        </w:trPr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28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numPr>
                <w:ilvl w:val="0"/>
                <w:numId w:val="23"/>
              </w:numPr>
              <w:ind w:left="425" w:hanging="283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  <w:u w:val="none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Актуализированы нормативно-технические документы.</w:t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</w:p>
        </w:tc>
      </w:tr>
      <w:tr>
        <w:tblPrEx/>
        <w:trPr>
          <w:cantSplit w:val="false"/>
        </w:trPr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29 - 35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numPr>
                <w:ilvl w:val="0"/>
                <w:numId w:val="15"/>
              </w:numPr>
              <w:ind w:left="425" w:hanging="283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  <w:u w:val="none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Переработаны решения по устройству трапов переходного балкона (по инициативе СМУ).</w:t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</w:p>
        </w:tc>
      </w:tr>
      <w:tr>
        <w:tblPrEx/>
        <w:trPr>
          <w:cantSplit w:val="false"/>
        </w:trPr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29 - 32, 36 - 37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numPr>
                <w:ilvl w:val="0"/>
                <w:numId w:val="24"/>
              </w:numPr>
              <w:ind w:left="425" w:hanging="283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  <w:u w:val="none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Переработаны решения по устройству дверных откосов тамбура и лестничной клетки при выходе на переходной балкон (по инициативе СМУ).</w:t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</w:p>
        </w:tc>
      </w:tr>
      <w:tr>
        <w:tblPrEx/>
        <w:trPr>
          <w:cantSplit w:val="false"/>
        </w:trPr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31 - 32, 36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numPr>
                <w:ilvl w:val="0"/>
                <w:numId w:val="18"/>
              </w:numPr>
              <w:ind w:left="720" w:hanging="360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  <w:u w:val="none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Изменено решение по креплению кладки над дверным проемом: перемычка АР исключена, монтаж осуществляется на уголок-перемычку с креплением к монолитному ж/б на кронштейнах. И перемычка, и кронштейн учитывается в КМ.</w:t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</w:p>
        </w:tc>
      </w:tr>
      <w:tr>
        <w:tblPrEx/>
        <w:trPr>
          <w:cantSplit w:val="false"/>
        </w:trPr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38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numPr>
                <w:ilvl w:val="0"/>
                <w:numId w:val="12"/>
              </w:numPr>
              <w:ind w:left="425" w:hanging="283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  <w:u w:val="none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ГВЛВ заменен на ГСП-А.</w:t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</w:p>
        </w:tc>
      </w:tr>
      <w:tr>
        <w:tblPrEx/>
        <w:trPr>
          <w:cantSplit w:val="false"/>
        </w:trPr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38, 56, 58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425" w:hanging="283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Решения по устройству перемычек приведены в соответствие со стандартом перемычек (версия на 10/2023). Добавлены указания по отделке перемычек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</w:tr>
      <w:tr>
        <w:tblPrEx/>
        <w:trPr>
          <w:cantSplit w:val="false"/>
        </w:trPr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39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numPr>
                <w:ilvl w:val="0"/>
                <w:numId w:val="9"/>
              </w:numPr>
              <w:ind w:left="425" w:hanging="283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  <w:u w:val="none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В месте примыкания перегородки ПГП к полу добавлена прокладка из эластичной пробки, согласно АТР Волма.</w:t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</w:p>
        </w:tc>
      </w:tr>
      <w:tr>
        <w:tblPrEx/>
        <w:trPr>
          <w:cantSplit w:val="false"/>
        </w:trPr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44 - 46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numPr>
                <w:ilvl w:val="0"/>
                <w:numId w:val="4"/>
              </w:numPr>
              <w:ind w:left="425" w:hanging="283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  <w:u w:val="none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Габариты и высотные отметки траверс приведены в соответствие с альбомом типовых узлов АИ.</w:t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</w:p>
        </w:tc>
      </w:tr>
      <w:tr>
        <w:tblPrEx/>
        <w:trPr>
          <w:cantSplit w:val="false"/>
        </w:trPr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48, 50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numPr>
                <w:ilvl w:val="0"/>
                <w:numId w:val="25"/>
              </w:numPr>
              <w:ind w:left="425" w:hanging="283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Актуализированы нормативно-технические документы.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</w:tr>
      <w:tr>
        <w:tblPrEx/>
        <w:trPr>
          <w:cantSplit w:val="false"/>
        </w:trPr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60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numPr>
                <w:ilvl w:val="0"/>
                <w:numId w:val="22"/>
              </w:numPr>
              <w:ind w:left="425" w:hanging="283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Профиль оцинкованный угловой для оштукатуривания оконного откоса заменен на профиль угловой ПВХ перфорированный с армирующей стеклотканевой сеткой 100х100 мм.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  <w:p>
            <w:pPr>
              <w:numPr>
                <w:ilvl w:val="0"/>
                <w:numId w:val="22"/>
              </w:numPr>
              <w:ind w:left="425" w:hanging="283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В зоне примыкания слоев отделки откоса к оконному блоку добавлен профиль примыкания оконный ПВХ с армирующей стеклотканевой сеткой.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</w:tr>
      <w:tr>
        <w:tblPrEx/>
        <w:trPr>
          <w:cantSplit w:val="false"/>
        </w:trPr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61 - 70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425" w:hanging="283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  <w:u w:val="none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Добавлены узлы устройства примыкания разных типов отделки, узлы разработаны в соответствии со стандартом отделки (версия на 02/2024).</w:t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</w:p>
        </w:tc>
      </w:tr>
      <w:tr>
        <w:tblPrEx/>
        <w:trPr>
          <w:cantSplit w:val="false"/>
        </w:trPr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71 - 72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numPr>
                <w:ilvl w:val="0"/>
                <w:numId w:val="5"/>
              </w:numPr>
              <w:ind w:left="425" w:hanging="283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  <w:u w:val="none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Добавлены узлы устройства траверсы для крепления смесителя и лейки в ванной для инвалидов и для крепления настенного поручня длинной 600 мм (узлы 96-99).</w:t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</w:p>
        </w:tc>
      </w:tr>
      <w:tr>
        <w:tblPrEx/>
        <w:trPr>
          <w:cantSplit w:val="false"/>
          <w:trHeight w:val="215"/>
        </w:trPr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73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425" w:hanging="283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  <w:u w:val="none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Добавлен узел устройства зашивки шкафа УЭРВ (узел 100).</w:t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</w:p>
        </w:tc>
      </w:tr>
      <w:tr>
        <w:tblPrEx/>
        <w:trPr>
          <w:cantSplit w:val="false"/>
        </w:trPr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74</w:t>
            </w:r>
            <w:r>
              <w:rPr>
                <w:rFonts w:ascii="Open Sans" w:hAnsi="Open Sans" w:cs="Open Sans"/>
                <w:sz w:val="24"/>
                <w:szCs w:val="24"/>
              </w:rPr>
            </w:r>
            <w:r>
              <w:rPr>
                <w:rFonts w:ascii="Open Sans" w:hAnsi="Open Sans" w:cs="Open Sans"/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56" w:type="dxa"/>
              <w:top w:w="56" w:type="dxa"/>
              <w:right w:w="56" w:type="dxa"/>
              <w:bottom w:w="56" w:type="dxa"/>
            </w:tcMar>
            <w:vAlign w:val="top"/>
            <w:textDirection w:val="lrTb"/>
            <w:noWrap w:val="false"/>
          </w:tcPr>
          <w:p>
            <w:pPr>
              <w:numPr>
                <w:ilvl w:val="0"/>
                <w:numId w:val="21"/>
              </w:numPr>
              <w:ind w:left="425" w:hanging="283"/>
              <w:spacing w:line="240" w:lineRule="auto"/>
              <w:widowControl w:val="off"/>
              <w:rPr>
                <w:rFonts w:ascii="Open Sans" w:hAnsi="Open Sans" w:cs="Open Sans"/>
                <w:sz w:val="24"/>
                <w:szCs w:val="24"/>
                <w:u w:val="none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Добавлен узел крепления корзины кондиционера к наружной стеновой панели (узел 101).</w:t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  <w:r>
              <w:rPr>
                <w:rFonts w:ascii="Open Sans" w:hAnsi="Open Sans" w:cs="Open Sans"/>
                <w:sz w:val="24"/>
                <w:szCs w:val="24"/>
                <w:u w:val="none"/>
              </w:rPr>
            </w:r>
          </w:p>
        </w:tc>
      </w:tr>
      <w:tr>
        <w:tblPrEx/>
        <w:trPr/>
        <w:tc>
          <w:tcPr>
            <w:shd w:val="clear" w:color="a6a6a6" w:themeColor="background1" w:themeShade="A6" w:fill="a6a6a6" w:themeFill="background1" w:themeFillShade="A6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shd w:val="clear" w:color="a6a6a6" w:themeColor="background1" w:themeShade="A6" w:fill="a6a6a6" w:themeFill="background1" w:themeFillShade="A6"/>
              <w:widowControl w:val="off"/>
              <w:rPr>
                <w:rFonts w:ascii="Open Sans" w:hAnsi="Open Sans" w:cs="Open Sans"/>
                <w:rtl w:val="0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rtl w:val="0"/>
              </w:rPr>
            </w:r>
            <w:r>
              <w:rPr>
                <w:rFonts w:ascii="Open Sans" w:hAnsi="Open Sans" w:cs="Open Sans"/>
                <w:rtl w:val="0"/>
              </w:rPr>
            </w:r>
          </w:p>
        </w:tc>
        <w:tc>
          <w:tcPr>
            <w:shd w:val="clear" w:color="a6a6a6" w:themeColor="background1" w:themeShade="A6" w:fill="a6a6a6" w:themeFill="background1" w:themeFillShade="A6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6a6a6" w:themeColor="background1" w:themeShade="A6" w:fill="a6a6a6" w:themeFill="background1" w:themeFillShade="A6"/>
              <w:widowControl w:val="off"/>
              <w:rPr>
                <w:rFonts w:ascii="Open Sans" w:hAnsi="Open Sans" w:cs="Open Sans"/>
                <w:sz w:val="24"/>
                <w:szCs w:val="24"/>
                <w:rtl w:val="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  <w:rtl w:val="0"/>
              </w:rPr>
            </w:r>
          </w:p>
        </w:tc>
        <w:tc>
          <w:tcPr>
            <w:shd w:val="clear" w:color="a6a6a6" w:themeColor="background1" w:themeShade="A6" w:fill="a6a6a6" w:themeFill="background1" w:themeFillShade="A6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shd w:val="clear" w:color="a6a6a6" w:themeColor="background1" w:themeShade="A6" w:fill="a6a6a6" w:themeFill="background1" w:themeFillShade="A6"/>
              <w:rPr>
                <w:rFonts w:ascii="Open Sans" w:hAnsi="Open Sans" w:cs="Open Sans"/>
              </w:rPr>
            </w:pPr>
            <w:r>
              <w:rPr>
                <w:rFonts w:ascii="Open Sans" w:hAnsi="Open Sans" w:eastAsia="Open Sans" w:cs="Open Sans"/>
              </w:rPr>
            </w:r>
            <w:r>
              <w:rPr>
                <w:rFonts w:ascii="Open Sans" w:hAnsi="Open Sans" w:cs="Open Sans"/>
              </w:rPr>
            </w:r>
            <w:r>
              <w:rPr>
                <w:rFonts w:ascii="Open Sans" w:hAnsi="Open Sans" w:cs="Open Sans"/>
              </w:rPr>
            </w:r>
          </w:p>
        </w:tc>
      </w:tr>
      <w:tr>
        <w:tblPrEx/>
        <w:trPr/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rtl w:val="0"/>
              </w:rPr>
            </w:pPr>
            <w:r>
              <w:rPr>
                <w:rFonts w:ascii="Open Sans" w:hAnsi="Open Sans" w:eastAsia="Open Sans" w:cs="Open Sans"/>
                <w:b/>
                <w:bCs/>
                <w:rtl w:val="0"/>
              </w:rPr>
              <w:t xml:space="preserve">23.07.2024</w:t>
            </w:r>
            <w:r>
              <w:rPr>
                <w:rFonts w:ascii="Open Sans" w:hAnsi="Open Sans" w:cs="Open Sans"/>
                <w:rtl w:val="0"/>
              </w:rPr>
            </w:r>
            <w:r>
              <w:rPr>
                <w:rFonts w:ascii="Open Sans" w:hAnsi="Open Sans" w:cs="Open Sans"/>
                <w:rtl w:val="0"/>
              </w:rPr>
            </w:r>
          </w:p>
        </w:tc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  <w:rtl w:val="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1</w:t>
            </w:r>
            <w:r>
              <w:rPr>
                <w:rFonts w:ascii="Open Sans" w:hAnsi="Open Sans" w:cs="Open Sans"/>
                <w:sz w:val="24"/>
                <w:szCs w:val="24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  <w:rtl w:val="0"/>
              </w:rPr>
            </w:r>
          </w:p>
        </w:tc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pStyle w:val="768"/>
              <w:numPr>
                <w:ilvl w:val="0"/>
                <w:numId w:val="26"/>
              </w:numPr>
              <w:rPr>
                <w:rFonts w:ascii="Open Sans" w:hAnsi="Open Sans" w:cs="Open Sans"/>
              </w:rPr>
            </w:pPr>
            <w:r>
              <w:rPr>
                <w:rFonts w:ascii="Open Sans" w:hAnsi="Open Sans" w:eastAsia="Open Sans" w:cs="Open Sans"/>
              </w:rPr>
              <w:t xml:space="preserve">Откорректированы общие указания в части устройства армирования наружной кирпичной кладки для системы НФС и для гибких связей.</w:t>
            </w:r>
            <w:r>
              <w:rPr>
                <w:rFonts w:ascii="Open Sans" w:hAnsi="Open Sans" w:cs="Open Sans"/>
              </w:rPr>
            </w:r>
            <w:r>
              <w:rPr>
                <w:rFonts w:ascii="Open Sans" w:hAnsi="Open Sans" w:cs="Open Sans"/>
              </w:rPr>
            </w:r>
          </w:p>
        </w:tc>
      </w:tr>
      <w:tr>
        <w:tblPrEx/>
        <w:trPr/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rtl w:val="0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rtl w:val="0"/>
              </w:rPr>
            </w:r>
            <w:r>
              <w:rPr>
                <w:rFonts w:ascii="Open Sans" w:hAnsi="Open Sans" w:cs="Open Sans"/>
                <w:rtl w:val="0"/>
              </w:rPr>
            </w:r>
          </w:p>
        </w:tc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  <w:rtl w:val="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2, 3</w:t>
            </w:r>
            <w:r>
              <w:rPr>
                <w:rFonts w:ascii="Open Sans" w:hAnsi="Open Sans" w:cs="Open Sans"/>
                <w:sz w:val="24"/>
                <w:szCs w:val="24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  <w:rtl w:val="0"/>
              </w:rPr>
            </w:r>
          </w:p>
        </w:tc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pStyle w:val="768"/>
              <w:numPr>
                <w:ilvl w:val="0"/>
                <w:numId w:val="27"/>
              </w:numPr>
              <w:rPr>
                <w:rFonts w:ascii="Open Sans" w:hAnsi="Open Sans" w:cs="Open Sans"/>
              </w:rPr>
            </w:pPr>
            <w:r>
              <w:rPr>
                <w:rFonts w:ascii="Open Sans" w:hAnsi="Open Sans" w:eastAsia="Open Sans" w:cs="Open Sans"/>
              </w:rPr>
              <w:t xml:space="preserve">Откорректирована теплопроводность минераловатного утеплителя.</w:t>
            </w:r>
            <w:r>
              <w:rPr>
                <w:rFonts w:ascii="Open Sans" w:hAnsi="Open Sans" w:cs="Open Sans"/>
              </w:rPr>
            </w:r>
            <w:r>
              <w:rPr>
                <w:rFonts w:ascii="Open Sans" w:hAnsi="Open Sans" w:cs="Open Sans"/>
              </w:rPr>
            </w:r>
          </w:p>
        </w:tc>
      </w:tr>
      <w:tr>
        <w:tblPrEx/>
        <w:trPr/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rtl w:val="0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rtl w:val="0"/>
              </w:rPr>
            </w:r>
            <w:r>
              <w:rPr>
                <w:rFonts w:ascii="Open Sans" w:hAnsi="Open Sans" w:cs="Open Sans"/>
                <w:rtl w:val="0"/>
              </w:rPr>
            </w:r>
          </w:p>
        </w:tc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  <w:rtl w:val="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6, 8, 12, 59</w:t>
            </w:r>
            <w:r>
              <w:rPr>
                <w:rFonts w:ascii="Open Sans" w:hAnsi="Open Sans" w:cs="Open Sans"/>
                <w:sz w:val="24"/>
                <w:szCs w:val="24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  <w:rtl w:val="0"/>
              </w:rPr>
            </w:r>
          </w:p>
        </w:tc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pStyle w:val="768"/>
              <w:numPr>
                <w:ilvl w:val="0"/>
                <w:numId w:val="28"/>
              </w:numPr>
              <w:rPr>
                <w:rFonts w:ascii="Open Sans" w:hAnsi="Open Sans" w:cs="Open Sans"/>
              </w:rPr>
            </w:pPr>
            <w:r>
              <w:rPr>
                <w:rFonts w:ascii="Open Sans" w:hAnsi="Open Sans" w:eastAsia="Open Sans" w:cs="Open Sans"/>
              </w:rPr>
              <w:t xml:space="preserve">Откорректировано устройство утепления потолка лоджии квартиры для инвалидов, при расположении под лоджией обычной квартиры – сечения 5-5, 9-9, узел 10, 15. На лист 59 добавлен новый узел 106.</w:t>
            </w:r>
            <w:r>
              <w:rPr>
                <w:rFonts w:ascii="Open Sans" w:hAnsi="Open Sans" w:cs="Open Sans"/>
              </w:rPr>
            </w:r>
            <w:r>
              <w:rPr>
                <w:rFonts w:ascii="Open Sans" w:hAnsi="Open Sans" w:cs="Open Sans"/>
              </w:rPr>
            </w:r>
          </w:p>
        </w:tc>
      </w:tr>
      <w:tr>
        <w:tblPrEx/>
        <w:trPr/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rtl w:val="0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rtl w:val="0"/>
              </w:rPr>
            </w:r>
            <w:r>
              <w:rPr>
                <w:rFonts w:ascii="Open Sans" w:hAnsi="Open Sans" w:cs="Open Sans"/>
                <w:rtl w:val="0"/>
              </w:rPr>
            </w:r>
          </w:p>
        </w:tc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  <w:rtl w:val="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17</w:t>
            </w:r>
            <w:r>
              <w:rPr>
                <w:rFonts w:ascii="Open Sans" w:hAnsi="Open Sans" w:cs="Open Sans"/>
                <w:sz w:val="24"/>
                <w:szCs w:val="24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  <w:rtl w:val="0"/>
              </w:rPr>
            </w:r>
          </w:p>
        </w:tc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pStyle w:val="768"/>
              <w:numPr>
                <w:ilvl w:val="0"/>
                <w:numId w:val="29"/>
              </w:numPr>
              <w:rPr>
                <w:rFonts w:ascii="Open Sans" w:hAnsi="Open Sans" w:cs="Open Sans"/>
              </w:rPr>
            </w:pPr>
            <w:r>
              <w:rPr>
                <w:rFonts w:ascii="Open Sans" w:hAnsi="Open Sans" w:eastAsia="Open Sans" w:cs="Open Sans"/>
              </w:rPr>
              <w:t xml:space="preserve">На узлы 20, 21 добавлены указания о порядке применения разной толщины утепления боковых стен лоджии (НС-16.2, НС-16.3).</w:t>
            </w:r>
            <w:r>
              <w:rPr>
                <w:rFonts w:ascii="Open Sans" w:hAnsi="Open Sans" w:cs="Open Sans"/>
              </w:rPr>
            </w:r>
            <w:r>
              <w:rPr>
                <w:rFonts w:ascii="Open Sans" w:hAnsi="Open Sans" w:cs="Open Sans"/>
              </w:rPr>
            </w:r>
          </w:p>
        </w:tc>
      </w:tr>
      <w:tr>
        <w:tblPrEx/>
        <w:trPr/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rtl w:val="0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rtl w:val="0"/>
              </w:rPr>
            </w:r>
            <w:r>
              <w:rPr>
                <w:rFonts w:ascii="Open Sans" w:hAnsi="Open Sans" w:cs="Open Sans"/>
                <w:rtl w:val="0"/>
              </w:rPr>
            </w:r>
          </w:p>
        </w:tc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  <w:rtl w:val="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19, 20, 21</w:t>
            </w:r>
            <w:r>
              <w:rPr>
                <w:rFonts w:ascii="Open Sans" w:hAnsi="Open Sans" w:cs="Open Sans"/>
                <w:sz w:val="24"/>
                <w:szCs w:val="24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  <w:rtl w:val="0"/>
              </w:rPr>
            </w:r>
          </w:p>
        </w:tc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pStyle w:val="768"/>
              <w:numPr>
                <w:ilvl w:val="0"/>
                <w:numId w:val="30"/>
              </w:numPr>
              <w:rPr>
                <w:rFonts w:ascii="Open Sans" w:hAnsi="Open Sans" w:cs="Open Sans"/>
              </w:rPr>
            </w:pPr>
            <w:r>
              <w:rPr>
                <w:rFonts w:ascii="Open Sans" w:hAnsi="Open Sans" w:eastAsia="Open Sans" w:cs="Open Sans"/>
              </w:rPr>
              <w:t xml:space="preserve">Откорректировано устройство армирования наружной кирпичной кладки в соответствии с новыми правилами армирования. </w:t>
            </w:r>
            <w:r>
              <w:rPr>
                <w:rFonts w:ascii="Open Sans" w:hAnsi="Open Sans" w:cs="Open Sans"/>
              </w:rPr>
            </w:r>
            <w:r>
              <w:rPr>
                <w:rFonts w:ascii="Open Sans" w:hAnsi="Open Sans" w:cs="Open Sans"/>
              </w:rPr>
            </w:r>
          </w:p>
          <w:p>
            <w:pPr>
              <w:pStyle w:val="768"/>
              <w:numPr>
                <w:ilvl w:val="0"/>
                <w:numId w:val="30"/>
              </w:numPr>
              <w:rPr>
                <w:rFonts w:ascii="Open Sans" w:hAnsi="Open Sans" w:cs="Open Sans"/>
              </w:rPr>
            </w:pPr>
            <w:r>
              <w:rPr>
                <w:rFonts w:ascii="Open Sans" w:hAnsi="Open Sans" w:eastAsia="Open Sans" w:cs="Open Sans"/>
                <w:highlight w:val="none"/>
              </w:rPr>
              <w:t xml:space="preserve">Добавлено металлическое ограждение оконного проема.</w:t>
            </w:r>
            <w:r>
              <w:rPr>
                <w:rFonts w:ascii="Open Sans" w:hAnsi="Open Sans" w:cs="Open Sans"/>
              </w:rPr>
            </w:r>
            <w:r>
              <w:rPr>
                <w:rFonts w:ascii="Open Sans" w:hAnsi="Open Sans" w:cs="Open Sans"/>
              </w:rPr>
            </w:r>
          </w:p>
          <w:p>
            <w:pPr>
              <w:pStyle w:val="768"/>
              <w:numPr>
                <w:ilvl w:val="0"/>
                <w:numId w:val="30"/>
              </w:numPr>
              <w:rPr>
                <w:rFonts w:ascii="Open Sans" w:hAnsi="Open Sans" w:cs="Open Sans"/>
              </w:rPr>
            </w:pPr>
            <w:r>
              <w:rPr>
                <w:rFonts w:ascii="Open Sans" w:hAnsi="Open Sans" w:eastAsia="Open Sans" w:cs="Open Sans"/>
                <w:highlight w:val="none"/>
              </w:rPr>
              <w:t xml:space="preserve">На лист 21 добавлены новые узлы устройства металлического ограждения оконного проема.</w:t>
            </w:r>
            <w:r>
              <w:rPr>
                <w:rFonts w:ascii="Open Sans" w:hAnsi="Open Sans" w:cs="Open Sans"/>
              </w:rPr>
            </w:r>
            <w:r>
              <w:rPr>
                <w:rFonts w:ascii="Open Sans" w:hAnsi="Open Sans" w:cs="Open Sans"/>
              </w:rPr>
            </w:r>
          </w:p>
        </w:tc>
      </w:tr>
      <w:tr>
        <w:tblPrEx/>
        <w:trPr/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rtl w:val="0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rtl w:val="0"/>
              </w:rPr>
            </w:r>
            <w:r>
              <w:rPr>
                <w:rFonts w:ascii="Open Sans" w:hAnsi="Open Sans" w:cs="Open Sans"/>
                <w:rtl w:val="0"/>
              </w:rPr>
            </w:r>
          </w:p>
        </w:tc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  <w:rtl w:val="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22</w:t>
            </w:r>
            <w:r>
              <w:rPr>
                <w:rFonts w:ascii="Open Sans" w:hAnsi="Open Sans" w:cs="Open Sans"/>
                <w:sz w:val="24"/>
                <w:szCs w:val="24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  <w:rtl w:val="0"/>
              </w:rPr>
            </w:r>
          </w:p>
        </w:tc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pStyle w:val="768"/>
              <w:numPr>
                <w:ilvl w:val="0"/>
                <w:numId w:val="31"/>
              </w:numPr>
              <w:rPr>
                <w:rFonts w:ascii="Open Sans" w:hAnsi="Open Sans" w:cs="Open Sans"/>
              </w:rPr>
            </w:pPr>
            <w:r>
              <w:rPr>
                <w:rFonts w:ascii="Open Sans" w:hAnsi="Open Sans" w:eastAsia="Open Sans" w:cs="Open Sans"/>
              </w:rPr>
              <w:t xml:space="preserve">Добавлены спецификация и узлы устройства кронштейна для крепления корзины.</w:t>
            </w:r>
            <w:r>
              <w:rPr>
                <w:rFonts w:ascii="Open Sans" w:hAnsi="Open Sans" w:cs="Open Sans"/>
              </w:rPr>
            </w:r>
            <w:r>
              <w:rPr>
                <w:rFonts w:ascii="Open Sans" w:hAnsi="Open Sans" w:cs="Open Sans"/>
              </w:rPr>
            </w:r>
          </w:p>
        </w:tc>
      </w:tr>
      <w:tr>
        <w:tblPrEx/>
        <w:trPr/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rtl w:val="0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rtl w:val="0"/>
              </w:rPr>
            </w:r>
            <w:r>
              <w:rPr>
                <w:rFonts w:ascii="Open Sans" w:hAnsi="Open Sans" w:cs="Open Sans"/>
                <w:rtl w:val="0"/>
              </w:rPr>
            </w:r>
          </w:p>
        </w:tc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  <w:rtl w:val="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27</w:t>
            </w:r>
            <w:r>
              <w:rPr>
                <w:rFonts w:ascii="Open Sans" w:hAnsi="Open Sans" w:cs="Open Sans"/>
                <w:sz w:val="24"/>
                <w:szCs w:val="24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  <w:rtl w:val="0"/>
              </w:rPr>
            </w:r>
          </w:p>
        </w:tc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pStyle w:val="768"/>
              <w:numPr>
                <w:ilvl w:val="0"/>
                <w:numId w:val="32"/>
              </w:numPr>
              <w:rPr>
                <w:rFonts w:ascii="Open Sans" w:hAnsi="Open Sans" w:cs="Open Sans"/>
              </w:rPr>
            </w:pPr>
            <w:r>
              <w:rPr>
                <w:rFonts w:ascii="Open Sans" w:hAnsi="Open Sans" w:eastAsia="Open Sans" w:cs="Open Sans"/>
              </w:rPr>
              <w:t xml:space="preserve">На узле 32 откорректировано устройство натяжного потолка в соответствии с обновлением технологической карты производителя.</w:t>
            </w:r>
            <w:r>
              <w:rPr>
                <w:rFonts w:ascii="Open Sans" w:hAnsi="Open Sans" w:cs="Open Sans"/>
              </w:rPr>
            </w:r>
            <w:r>
              <w:rPr>
                <w:rFonts w:ascii="Open Sans" w:hAnsi="Open Sans" w:cs="Open Sans"/>
              </w:rPr>
            </w:r>
          </w:p>
        </w:tc>
      </w:tr>
      <w:tr>
        <w:tblPrEx/>
        <w:trPr/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rtl w:val="0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rtl w:val="0"/>
              </w:rPr>
            </w:r>
            <w:r>
              <w:rPr>
                <w:rFonts w:ascii="Open Sans" w:hAnsi="Open Sans" w:cs="Open Sans"/>
                <w:rtl w:val="0"/>
              </w:rPr>
            </w:r>
          </w:p>
        </w:tc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  <w:rtl w:val="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29-35</w:t>
            </w:r>
            <w:r>
              <w:rPr>
                <w:rFonts w:ascii="Open Sans" w:hAnsi="Open Sans" w:cs="Open Sans"/>
                <w:sz w:val="24"/>
                <w:szCs w:val="24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  <w:rtl w:val="0"/>
              </w:rPr>
            </w:r>
          </w:p>
        </w:tc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pStyle w:val="768"/>
              <w:numPr>
                <w:ilvl w:val="0"/>
                <w:numId w:val="33"/>
              </w:numPr>
              <w:rPr>
                <w:rFonts w:ascii="Open Sans" w:hAnsi="Open Sans" w:cs="Open Sans"/>
              </w:rPr>
            </w:pPr>
            <w:r>
              <w:rPr>
                <w:rFonts w:ascii="Open Sans" w:hAnsi="Open Sans" w:eastAsia="Open Sans" w:cs="Open Sans"/>
              </w:rPr>
              <w:t xml:space="preserve">По решению Штаба АР зафиксированы привязки водосточных трапов, без учета раскладки плитки.</w:t>
            </w:r>
            <w:r>
              <w:rPr>
                <w:rFonts w:ascii="Open Sans" w:hAnsi="Open Sans" w:cs="Open Sans"/>
              </w:rPr>
            </w:r>
            <w:r>
              <w:rPr>
                <w:rFonts w:ascii="Open Sans" w:hAnsi="Open Sans" w:cs="Open Sans"/>
              </w:rPr>
            </w:r>
          </w:p>
        </w:tc>
      </w:tr>
      <w:tr>
        <w:tblPrEx/>
        <w:trPr/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eastAsia="Open Sans" w:cs="Open Sans"/>
                <w:rtl w:val="0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eastAsia="Open Sans" w:cs="Open Sans"/>
                <w:rtl w:val="0"/>
              </w:rPr>
            </w:r>
          </w:p>
        </w:tc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eastAsia="Open Sans" w:cs="Open Sans"/>
                <w:sz w:val="24"/>
                <w:szCs w:val="24"/>
                <w:rtl w:val="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31, 32, 35</w:t>
            </w: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</w:r>
          </w:p>
        </w:tc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pStyle w:val="768"/>
              <w:numPr>
                <w:ilvl w:val="0"/>
                <w:numId w:val="34"/>
              </w:numPr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 xml:space="preserve">Откорректирован размер отверстия в ж/б плите для устройства трубы ПВХ к водособорному трапу.</w:t>
            </w:r>
            <w:r>
              <w:rPr>
                <w:rFonts w:ascii="Open Sans" w:hAnsi="Open Sans" w:eastAsia="Open Sans" w:cs="Open Sans"/>
              </w:rPr>
            </w:r>
          </w:p>
        </w:tc>
      </w:tr>
      <w:tr>
        <w:tblPrEx/>
        <w:trPr/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rtl w:val="0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rtl w:val="0"/>
              </w:rPr>
            </w:r>
            <w:r>
              <w:rPr>
                <w:rFonts w:ascii="Open Sans" w:hAnsi="Open Sans" w:cs="Open Sans"/>
                <w:rtl w:val="0"/>
              </w:rPr>
            </w:r>
          </w:p>
        </w:tc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  <w:rtl w:val="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37</w:t>
            </w:r>
            <w:r>
              <w:rPr>
                <w:rFonts w:ascii="Open Sans" w:hAnsi="Open Sans" w:cs="Open Sans"/>
                <w:sz w:val="24"/>
                <w:szCs w:val="24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  <w:rtl w:val="0"/>
              </w:rPr>
            </w:r>
          </w:p>
        </w:tc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pStyle w:val="768"/>
              <w:numPr>
                <w:ilvl w:val="0"/>
                <w:numId w:val="43"/>
              </w:numPr>
              <w:ind w:left="709" w:right="0" w:hanging="425"/>
              <w:rPr>
                <w:rFonts w:ascii="Open Sans" w:hAnsi="Open Sans" w:cs="Open Sans"/>
              </w:rPr>
            </w:pPr>
            <w:r>
              <w:rPr>
                <w:rFonts w:ascii="Open Sans" w:hAnsi="Open Sans" w:eastAsia="Open Sans" w:cs="Open Sans"/>
              </w:rPr>
              <w:t xml:space="preserve">Откорректирован состав отделки откосов в соответствии с обновлением стандарта отделки.</w:t>
            </w:r>
            <w:r>
              <w:rPr>
                <w:rFonts w:ascii="Open Sans" w:hAnsi="Open Sans" w:cs="Open Sans"/>
              </w:rPr>
            </w:r>
            <w:r>
              <w:rPr>
                <w:rFonts w:ascii="Open Sans" w:hAnsi="Open Sans" w:cs="Open Sans"/>
              </w:rPr>
            </w:r>
          </w:p>
        </w:tc>
      </w:tr>
      <w:tr>
        <w:tblPrEx/>
        <w:trPr/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rtl w:val="0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rtl w:val="0"/>
              </w:rPr>
            </w:r>
            <w:r>
              <w:rPr>
                <w:rFonts w:ascii="Open Sans" w:hAnsi="Open Sans" w:cs="Open Sans"/>
                <w:rtl w:val="0"/>
              </w:rPr>
            </w:r>
          </w:p>
        </w:tc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  <w:rtl w:val="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38</w:t>
            </w:r>
            <w:r>
              <w:rPr>
                <w:rFonts w:ascii="Open Sans" w:hAnsi="Open Sans" w:cs="Open Sans"/>
                <w:sz w:val="24"/>
                <w:szCs w:val="24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  <w:rtl w:val="0"/>
              </w:rPr>
            </w:r>
          </w:p>
        </w:tc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pStyle w:val="768"/>
              <w:numPr>
                <w:ilvl w:val="0"/>
                <w:numId w:val="35"/>
              </w:numPr>
              <w:rPr>
                <w:rFonts w:ascii="Open Sans" w:hAnsi="Open Sans" w:cs="Open Sans"/>
              </w:rPr>
            </w:pPr>
            <w:r>
              <w:rPr>
                <w:rFonts w:ascii="Open Sans" w:hAnsi="Open Sans" w:eastAsia="Open Sans" w:cs="Open Sans"/>
              </w:rPr>
              <w:t xml:space="preserve">В соответствии с обновлением технической информации от производителя ВОЛМА, обновлены узлы устройства заплечиков в кладке из ПГП:</w:t>
            </w:r>
            <w:r>
              <w:rPr>
                <w:rFonts w:ascii="Open Sans" w:hAnsi="Open Sans" w:cs="Open Sans"/>
              </w:rPr>
            </w:r>
            <w:r>
              <w:rPr>
                <w:rFonts w:ascii="Open Sans" w:hAnsi="Open Sans" w:cs="Open Sans"/>
              </w:rPr>
            </w:r>
          </w:p>
          <w:p>
            <w:pPr>
              <w:pStyle w:val="768"/>
              <w:numPr>
                <w:ilvl w:val="0"/>
                <w:numId w:val="36"/>
              </w:numPr>
              <w:rPr>
                <w:rFonts w:ascii="Open Sans" w:hAnsi="Open Sans" w:cs="Open Sans"/>
              </w:rPr>
            </w:pPr>
            <w:r>
              <w:rPr>
                <w:rFonts w:ascii="Open Sans" w:hAnsi="Open Sans" w:eastAsia="Open Sans" w:cs="Open Sans"/>
                <w:highlight w:val="none"/>
              </w:rPr>
              <w:t xml:space="preserve">заплечики шириной 50- 300 мм допускается устраивать из ПГП толщиной 80, 100 мм при условии применения перемычки с односторонним опиранием, т.к. заплечики указанного размера в соответствии с данными производителя не могут нести нагрузку;</w:t>
            </w:r>
            <w:r>
              <w:rPr>
                <w:rFonts w:ascii="Open Sans" w:hAnsi="Open Sans" w:cs="Open Sans"/>
              </w:rPr>
            </w:r>
            <w:r>
              <w:rPr>
                <w:rFonts w:ascii="Open Sans" w:hAnsi="Open Sans" w:cs="Open Sans"/>
              </w:rPr>
            </w:r>
          </w:p>
          <w:p>
            <w:pPr>
              <w:pStyle w:val="768"/>
              <w:numPr>
                <w:ilvl w:val="0"/>
                <w:numId w:val="36"/>
              </w:numPr>
              <w:rPr>
                <w:rFonts w:ascii="Open Sans" w:hAnsi="Open Sans" w:cs="Open Sans"/>
              </w:rPr>
            </w:pPr>
            <w:r>
              <w:rPr>
                <w:rFonts w:ascii="Open Sans" w:hAnsi="Open Sans" w:eastAsia="Open Sans" w:cs="Open Sans"/>
                <w:highlight w:val="none"/>
              </w:rPr>
              <w:t xml:space="preserve">заплечики шириной менее 50 мм устраивать не допускается;</w:t>
            </w:r>
            <w:r>
              <w:rPr>
                <w:rFonts w:ascii="Open Sans" w:hAnsi="Open Sans" w:cs="Open Sans"/>
              </w:rPr>
            </w:r>
            <w:r>
              <w:rPr>
                <w:rFonts w:ascii="Open Sans" w:hAnsi="Open Sans" w:cs="Open Sans"/>
              </w:rPr>
            </w:r>
          </w:p>
          <w:p>
            <w:pPr>
              <w:pStyle w:val="768"/>
              <w:numPr>
                <w:ilvl w:val="0"/>
                <w:numId w:val="36"/>
              </w:numPr>
              <w:rPr>
                <w:rFonts w:ascii="Open Sans" w:hAnsi="Open Sans" w:cs="Open Sans"/>
              </w:rPr>
            </w:pPr>
            <w:r>
              <w:rPr>
                <w:rFonts w:ascii="Open Sans" w:hAnsi="Open Sans" w:eastAsia="Open Sans" w:cs="Open Sans"/>
                <w:highlight w:val="none"/>
              </w:rPr>
              <w:t xml:space="preserve">устройство заплечиков из ГСП для кладки ПГП 100 мм допустимо, но необязательно, предпочтительнее применять заплечики из ПГП.</w:t>
            </w:r>
            <w:r>
              <w:rPr>
                <w:rFonts w:ascii="Open Sans" w:hAnsi="Open Sans" w:cs="Open Sans"/>
              </w:rPr>
            </w:r>
            <w:r>
              <w:rPr>
                <w:rFonts w:ascii="Open Sans" w:hAnsi="Open Sans" w:cs="Open Sans"/>
              </w:rPr>
            </w:r>
          </w:p>
        </w:tc>
      </w:tr>
      <w:tr>
        <w:tblPrEx/>
        <w:trPr/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rtl w:val="0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rtl w:val="0"/>
              </w:rPr>
            </w:r>
            <w:r>
              <w:rPr>
                <w:rFonts w:ascii="Open Sans" w:hAnsi="Open Sans" w:cs="Open Sans"/>
                <w:rtl w:val="0"/>
              </w:rPr>
            </w:r>
          </w:p>
        </w:tc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  <w:rtl w:val="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57</w:t>
            </w:r>
            <w:r>
              <w:rPr>
                <w:rFonts w:ascii="Open Sans" w:hAnsi="Open Sans" w:cs="Open Sans"/>
                <w:sz w:val="24"/>
                <w:szCs w:val="24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  <w:rtl w:val="0"/>
              </w:rPr>
            </w:r>
          </w:p>
        </w:tc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pStyle w:val="768"/>
              <w:numPr>
                <w:ilvl w:val="0"/>
                <w:numId w:val="38"/>
              </w:numPr>
              <w:rPr>
                <w:rFonts w:ascii="Open Sans" w:hAnsi="Open Sans" w:cs="Open Sans"/>
              </w:rPr>
            </w:pPr>
            <w:r>
              <w:rPr>
                <w:rFonts w:ascii="Open Sans" w:hAnsi="Open Sans" w:eastAsia="Open Sans" w:cs="Open Sans"/>
              </w:rPr>
              <w:t xml:space="preserve">Откорректировано устройство армирования наружной кирпичной кладки в соответствии с новыми правилами армирования. </w:t>
            </w:r>
            <w:r>
              <w:rPr>
                <w:rFonts w:ascii="Open Sans" w:hAnsi="Open Sans" w:cs="Open Sans"/>
              </w:rPr>
            </w:r>
            <w:r>
              <w:rPr>
                <w:rFonts w:ascii="Open Sans" w:hAnsi="Open Sans" w:cs="Open Sans"/>
              </w:rPr>
            </w:r>
          </w:p>
        </w:tc>
      </w:tr>
      <w:tr>
        <w:tblPrEx/>
        <w:trPr/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rtl w:val="0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rtl w:val="0"/>
              </w:rPr>
            </w:r>
            <w:r>
              <w:rPr>
                <w:rFonts w:ascii="Open Sans" w:hAnsi="Open Sans" w:cs="Open Sans"/>
                <w:rtl w:val="0"/>
              </w:rPr>
            </w:r>
          </w:p>
        </w:tc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  <w:rtl w:val="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69, 70</w:t>
            </w:r>
            <w:r>
              <w:rPr>
                <w:rFonts w:ascii="Open Sans" w:hAnsi="Open Sans" w:cs="Open Sans"/>
                <w:sz w:val="24"/>
                <w:szCs w:val="24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  <w:rtl w:val="0"/>
              </w:rPr>
            </w:r>
          </w:p>
        </w:tc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pStyle w:val="768"/>
              <w:numPr>
                <w:ilvl w:val="0"/>
                <w:numId w:val="39"/>
              </w:numPr>
              <w:rPr>
                <w:rFonts w:ascii="Open Sans" w:hAnsi="Open Sans" w:cs="Open Sans"/>
              </w:rPr>
            </w:pPr>
            <w:r>
              <w:rPr>
                <w:rFonts w:ascii="Open Sans" w:hAnsi="Open Sans" w:eastAsia="Open Sans" w:cs="Open Sans"/>
              </w:rPr>
              <w:t xml:space="preserve">Откорректированы составы отделки стен в соответствии с </w:t>
            </w:r>
            <w:r>
              <w:rPr>
                <w:rFonts w:ascii="Open Sans" w:hAnsi="Open Sans" w:eastAsia="Open Sans" w:cs="Open Sans"/>
              </w:rPr>
              <w:t xml:space="preserve">обновлением стандарта отделки.</w:t>
            </w:r>
            <w:r>
              <w:rPr>
                <w:rFonts w:ascii="Open Sans" w:hAnsi="Open Sans" w:cs="Open Sans"/>
              </w:rPr>
            </w:r>
            <w:r>
              <w:rPr>
                <w:rFonts w:ascii="Open Sans" w:hAnsi="Open Sans" w:cs="Open Sans"/>
              </w:rPr>
            </w:r>
          </w:p>
        </w:tc>
      </w:tr>
      <w:tr>
        <w:tblPrEx/>
        <w:trPr/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cs="Open Sans"/>
                <w:rtl w:val="0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cs="Open Sans"/>
                <w:rtl w:val="0"/>
              </w:rPr>
            </w:r>
            <w:r>
              <w:rPr>
                <w:rFonts w:ascii="Open Sans" w:hAnsi="Open Sans" w:cs="Open Sans"/>
                <w:rtl w:val="0"/>
              </w:rPr>
            </w:r>
          </w:p>
        </w:tc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cs="Open Sans"/>
                <w:sz w:val="24"/>
                <w:szCs w:val="24"/>
                <w:rtl w:val="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  <w:t xml:space="preserve">75, 76, 77</w:t>
            </w:r>
            <w:r>
              <w:rPr>
                <w:rFonts w:ascii="Open Sans" w:hAnsi="Open Sans" w:cs="Open Sans"/>
                <w:sz w:val="24"/>
                <w:szCs w:val="24"/>
                <w:rtl w:val="0"/>
              </w:rPr>
            </w:r>
            <w:r>
              <w:rPr>
                <w:rFonts w:ascii="Open Sans" w:hAnsi="Open Sans" w:cs="Open Sans"/>
                <w:sz w:val="24"/>
                <w:szCs w:val="24"/>
                <w:rtl w:val="0"/>
              </w:rPr>
            </w:r>
          </w:p>
        </w:tc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pStyle w:val="768"/>
              <w:numPr>
                <w:ilvl w:val="0"/>
                <w:numId w:val="41"/>
              </w:numPr>
              <w:rPr>
                <w:rFonts w:ascii="Open Sans" w:hAnsi="Open Sans" w:cs="Open Sans"/>
              </w:rPr>
            </w:pPr>
            <w:r>
              <w:rPr>
                <w:rFonts w:ascii="Open Sans" w:hAnsi="Open Sans" w:eastAsia="Open Sans" w:cs="Open Sans"/>
              </w:rPr>
              <w:t xml:space="preserve">Добавлены новые сечения и узлы с устройством лоджии квартиры для инвалидов 2 этажа с понижением плиты в зоне лоджии (без устройства пандуса со стороны квартиры).</w:t>
            </w:r>
            <w:r>
              <w:rPr>
                <w:rFonts w:ascii="Open Sans" w:hAnsi="Open Sans" w:cs="Open Sans"/>
              </w:rPr>
            </w:r>
            <w:r>
              <w:rPr>
                <w:rFonts w:ascii="Open Sans" w:hAnsi="Open Sans" w:cs="Open Sans"/>
              </w:rPr>
            </w:r>
          </w:p>
        </w:tc>
      </w:tr>
      <w:tr>
        <w:tblPrEx/>
        <w:trPr/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Open Sans" w:hAnsi="Open Sans" w:eastAsia="Open Sans" w:cs="Open Sans"/>
                <w:rtl w:val="0"/>
              </w:rPr>
            </w:pP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eastAsia="Open Sans" w:cs="Open Sans"/>
                <w:rtl w:val="0"/>
              </w:rPr>
            </w:r>
            <w:r>
              <w:rPr>
                <w:rFonts w:ascii="Open Sans" w:hAnsi="Open Sans" w:eastAsia="Open Sans" w:cs="Open Sans"/>
                <w:rtl w:val="0"/>
              </w:rPr>
            </w:r>
          </w:p>
        </w:tc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keepLines w:val="0"/>
              <w:keepNext w:val="0"/>
              <w:pageBreakBefore w:val="0"/>
              <w:spacing w:before="0" w:after="0" w:line="240" w:lineRule="auto"/>
              <w:shd w:val="clear" w:color="auto" w:fill="auto"/>
              <w:widowControl w:val="off"/>
              <w:rPr>
                <w:rFonts w:ascii="Open Sans" w:hAnsi="Open Sans" w:eastAsia="Open Sans" w:cs="Open Sans"/>
                <w:sz w:val="24"/>
                <w:szCs w:val="24"/>
                <w:rtl w:val="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</w: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</w:r>
            <w:r>
              <w:rPr>
                <w:rFonts w:ascii="Open Sans" w:hAnsi="Open Sans" w:eastAsia="Open Sans" w:cs="Open Sans"/>
                <w:sz w:val="24"/>
                <w:szCs w:val="24"/>
                <w:rtl w:val="0"/>
              </w:rPr>
            </w:r>
          </w:p>
        </w:tc>
        <w:tc>
          <w:tcPr>
            <w:shd w:val="clear" w:color="ffffff" w:fill="ffffff"/>
            <w:tcMar>
              <w:left w:w="56" w:type="dxa"/>
              <w:top w:w="56" w:type="dxa"/>
              <w:right w:w="56" w:type="dxa"/>
              <w:bottom w:w="56" w:type="dxa"/>
            </w:tcMar>
            <w:tcW w:w="0" w:type="auto"/>
            <w:vAlign w:val="top"/>
            <w:vMerge w:val="restart"/>
            <w:textDirection w:val="lrTb"/>
            <w:noWrap w:val="false"/>
          </w:tcPr>
          <w:p>
            <w:pPr>
              <w:pStyle w:val="768"/>
              <w:numPr>
                <w:ilvl w:val="0"/>
                <w:numId w:val="42"/>
              </w:numPr>
              <w:ind w:left="709" w:right="0" w:hanging="425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 xml:space="preserve">Исключены узлы заполнения обрамления порталов лифтов.</w:t>
            </w:r>
            <w:r>
              <w:rPr>
                <w:rFonts w:ascii="Open Sans" w:hAnsi="Open Sans" w:eastAsia="Open Sans" w:cs="Open Sans"/>
              </w:rPr>
            </w:r>
            <w:r>
              <w:rPr>
                <w:rFonts w:ascii="Open Sans" w:hAnsi="Open Sans" w:eastAsia="Open Sans" w:cs="Open Sans"/>
              </w:rPr>
            </w:r>
          </w:p>
        </w:tc>
      </w:tr>
    </w:tbl>
    <w:p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eastAsia="Open Sans" w:cs="Open Sans"/>
          <w:rtl w:val="0"/>
        </w:rPr>
      </w:r>
      <w:r>
        <w:rPr>
          <w:rFonts w:ascii="Open Sans" w:hAnsi="Open Sans" w:cs="Open Sans"/>
          <w:sz w:val="24"/>
          <w:szCs w:val="24"/>
        </w:rPr>
      </w:r>
      <w:r>
        <w:rPr>
          <w:rFonts w:ascii="Open Sans" w:hAnsi="Open Sans" w:cs="Open Sans"/>
          <w:sz w:val="24"/>
          <w:szCs w:val="24"/>
        </w:rPr>
      </w:r>
    </w:p>
    <w:p>
      <w:pPr>
        <w:rPr>
          <w:rFonts w:ascii="Open Sans" w:hAnsi="Open Sans" w:cs="Open Sans"/>
        </w:rPr>
      </w:pPr>
      <w:r>
        <w:rPr>
          <w:rFonts w:ascii="Open Sans" w:hAnsi="Open Sans" w:eastAsia="Open Sans" w:cs="Open Sans"/>
          <w:rtl w:val="0"/>
        </w:rPr>
      </w:r>
      <w:r>
        <w:rPr>
          <w:rFonts w:ascii="Open Sans" w:hAnsi="Open Sans" w:cs="Open Sans"/>
        </w:rPr>
      </w:r>
      <w:r>
        <w:rPr>
          <w:rFonts w:ascii="Open Sans" w:hAnsi="Open Sans" w:cs="Open Sans"/>
        </w:rPr>
      </w:r>
    </w:p>
    <w:sectPr>
      <w:footerReference w:type="default" r:id="rId9"/>
      <w:footnotePr/>
      <w:endnotePr/>
      <w:type w:val="nextPage"/>
      <w:pgSz w:w="11909" w:h="16834" w:orient="portrait"/>
      <w:pgMar w:top="566" w:right="708" w:bottom="850" w:left="850" w:header="0" w:footer="283" w:gutter="0"/>
      <w:pgNumType w:start="1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panose1 w:val="020B0606030504020204"/>
  </w:font>
  <w:font w:name="Times New Roman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right="-279"/>
      <w:jc w:val="right"/>
      <w:rPr>
        <w:rFonts w:ascii="Times New Roman" w:hAnsi="Times New Roman" w:eastAsia="Times New Roman" w:cs="Times New Roman"/>
      </w:rPr>
    </w:pPr>
    <w:r>
      <w:rPr>
        <w:rFonts w:ascii="Times New Roman" w:hAnsi="Times New Roman" w:eastAsia="Times New Roman" w:cs="Times New Roman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hAnsi="Times New Roman" w:eastAsia="Times New Roman" w:cs="Times New Roman"/>
      </w:rPr>
    </w:r>
    <w:r>
      <w:rPr>
        <w:rFonts w:ascii="Times New Roman" w:hAnsi="Times New Roman" w:eastAsia="Times New Roman" w:cs="Times New Roman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sz w:val="22"/>
        <w:szCs w:val="22"/>
        <w:lang w:val="ru" w:eastAsia="zh-CN" w:bidi="ar-SA"/>
      </w:rPr>
    </w:rPrDefault>
    <w:pPrDefault>
      <w:pPr>
        <w:spacing w:before="0" w:beforeAutospacing="0" w:after="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56">
    <w:name w:val="Heading 1 Char"/>
    <w:link w:val="929"/>
    <w:uiPriority w:val="9"/>
    <w:rPr>
      <w:rFonts w:ascii="Arial" w:hAnsi="Arial" w:eastAsia="Arial" w:cs="Arial"/>
      <w:sz w:val="40"/>
      <w:szCs w:val="40"/>
    </w:rPr>
  </w:style>
  <w:style w:type="character" w:styleId="757">
    <w:name w:val="Heading 2 Char"/>
    <w:link w:val="930"/>
    <w:uiPriority w:val="9"/>
    <w:rPr>
      <w:rFonts w:ascii="Arial" w:hAnsi="Arial" w:eastAsia="Arial" w:cs="Arial"/>
      <w:sz w:val="34"/>
    </w:rPr>
  </w:style>
  <w:style w:type="character" w:styleId="758">
    <w:name w:val="Heading 3 Char"/>
    <w:link w:val="931"/>
    <w:uiPriority w:val="9"/>
    <w:rPr>
      <w:rFonts w:ascii="Arial" w:hAnsi="Arial" w:eastAsia="Arial" w:cs="Arial"/>
      <w:sz w:val="30"/>
      <w:szCs w:val="30"/>
    </w:rPr>
  </w:style>
  <w:style w:type="character" w:styleId="759">
    <w:name w:val="Heading 4 Char"/>
    <w:link w:val="932"/>
    <w:uiPriority w:val="9"/>
    <w:rPr>
      <w:rFonts w:ascii="Arial" w:hAnsi="Arial" w:eastAsia="Arial" w:cs="Arial"/>
      <w:b/>
      <w:bCs/>
      <w:sz w:val="26"/>
      <w:szCs w:val="26"/>
    </w:rPr>
  </w:style>
  <w:style w:type="character" w:styleId="760">
    <w:name w:val="Heading 5 Char"/>
    <w:link w:val="933"/>
    <w:uiPriority w:val="9"/>
    <w:rPr>
      <w:rFonts w:ascii="Arial" w:hAnsi="Arial" w:eastAsia="Arial" w:cs="Arial"/>
      <w:b/>
      <w:bCs/>
      <w:sz w:val="24"/>
      <w:szCs w:val="24"/>
    </w:rPr>
  </w:style>
  <w:style w:type="character" w:styleId="761">
    <w:name w:val="Heading 6 Char"/>
    <w:link w:val="934"/>
    <w:uiPriority w:val="9"/>
    <w:rPr>
      <w:rFonts w:ascii="Arial" w:hAnsi="Arial" w:eastAsia="Arial" w:cs="Arial"/>
      <w:b/>
      <w:bCs/>
      <w:sz w:val="22"/>
      <w:szCs w:val="22"/>
    </w:rPr>
  </w:style>
  <w:style w:type="paragraph" w:styleId="762">
    <w:name w:val="Heading 7"/>
    <w:basedOn w:val="927"/>
    <w:next w:val="927"/>
    <w:link w:val="76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3">
    <w:name w:val="Heading 7 Char"/>
    <w:link w:val="76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64">
    <w:name w:val="Heading 8"/>
    <w:basedOn w:val="927"/>
    <w:next w:val="927"/>
    <w:link w:val="76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65">
    <w:name w:val="Heading 8 Char"/>
    <w:link w:val="764"/>
    <w:uiPriority w:val="9"/>
    <w:rPr>
      <w:rFonts w:ascii="Arial" w:hAnsi="Arial" w:eastAsia="Arial" w:cs="Arial"/>
      <w:i/>
      <w:iCs/>
      <w:sz w:val="22"/>
      <w:szCs w:val="22"/>
    </w:rPr>
  </w:style>
  <w:style w:type="paragraph" w:styleId="766">
    <w:name w:val="Heading 9"/>
    <w:basedOn w:val="927"/>
    <w:next w:val="927"/>
    <w:link w:val="76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7">
    <w:name w:val="Heading 9 Char"/>
    <w:link w:val="766"/>
    <w:uiPriority w:val="9"/>
    <w:rPr>
      <w:rFonts w:ascii="Arial" w:hAnsi="Arial" w:eastAsia="Arial" w:cs="Arial"/>
      <w:i/>
      <w:iCs/>
      <w:sz w:val="21"/>
      <w:szCs w:val="21"/>
    </w:rPr>
  </w:style>
  <w:style w:type="paragraph" w:styleId="768">
    <w:name w:val="List Paragraph"/>
    <w:basedOn w:val="927"/>
    <w:uiPriority w:val="34"/>
    <w:qFormat/>
    <w:pPr>
      <w:contextualSpacing/>
      <w:ind w:left="720"/>
    </w:pPr>
  </w:style>
  <w:style w:type="table" w:styleId="769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770">
    <w:name w:val="No Spacing"/>
    <w:uiPriority w:val="1"/>
    <w:qFormat/>
    <w:pPr>
      <w:spacing w:before="0" w:after="0" w:line="240" w:lineRule="auto"/>
    </w:pPr>
  </w:style>
  <w:style w:type="character" w:styleId="771">
    <w:name w:val="Title Char"/>
    <w:link w:val="935"/>
    <w:uiPriority w:val="10"/>
    <w:rPr>
      <w:sz w:val="48"/>
      <w:szCs w:val="48"/>
    </w:rPr>
  </w:style>
  <w:style w:type="character" w:styleId="772">
    <w:name w:val="Subtitle Char"/>
    <w:link w:val="936"/>
    <w:uiPriority w:val="11"/>
    <w:rPr>
      <w:sz w:val="24"/>
      <w:szCs w:val="24"/>
    </w:rPr>
  </w:style>
  <w:style w:type="paragraph" w:styleId="773">
    <w:name w:val="Quote"/>
    <w:basedOn w:val="927"/>
    <w:next w:val="927"/>
    <w:link w:val="774"/>
    <w:uiPriority w:val="29"/>
    <w:qFormat/>
    <w:pPr>
      <w:ind w:left="720" w:right="720"/>
    </w:pPr>
    <w:rPr>
      <w:i/>
    </w:rPr>
  </w:style>
  <w:style w:type="character" w:styleId="774">
    <w:name w:val="Quote Char"/>
    <w:link w:val="773"/>
    <w:uiPriority w:val="29"/>
    <w:rPr>
      <w:i/>
    </w:rPr>
  </w:style>
  <w:style w:type="paragraph" w:styleId="775">
    <w:name w:val="Intense Quote"/>
    <w:basedOn w:val="927"/>
    <w:next w:val="927"/>
    <w:link w:val="77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6">
    <w:name w:val="Intense Quote Char"/>
    <w:link w:val="775"/>
    <w:uiPriority w:val="30"/>
    <w:rPr>
      <w:i/>
    </w:rPr>
  </w:style>
  <w:style w:type="paragraph" w:styleId="777">
    <w:name w:val="Header"/>
    <w:basedOn w:val="927"/>
    <w:link w:val="77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8">
    <w:name w:val="Header Char"/>
    <w:link w:val="777"/>
    <w:uiPriority w:val="99"/>
  </w:style>
  <w:style w:type="paragraph" w:styleId="779">
    <w:name w:val="Footer"/>
    <w:basedOn w:val="927"/>
    <w:link w:val="7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0">
    <w:name w:val="Footer Char"/>
    <w:link w:val="779"/>
    <w:uiPriority w:val="99"/>
  </w:style>
  <w:style w:type="paragraph" w:styleId="781">
    <w:name w:val="Caption"/>
    <w:basedOn w:val="927"/>
    <w:next w:val="92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82">
    <w:name w:val="Caption Char"/>
    <w:basedOn w:val="781"/>
    <w:link w:val="779"/>
    <w:uiPriority w:val="99"/>
  </w:style>
  <w:style w:type="table" w:styleId="783">
    <w:name w:val="Table Grid"/>
    <w:basedOn w:val="76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4">
    <w:name w:val="Table Grid Light"/>
    <w:basedOn w:val="76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5">
    <w:name w:val="Plain Table 1"/>
    <w:basedOn w:val="76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6">
    <w:name w:val="Plain Table 2"/>
    <w:basedOn w:val="76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7">
    <w:name w:val="Plain Table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8">
    <w:name w:val="Plain Table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Plain Table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0">
    <w:name w:val="Grid Table 1 Light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1 Light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Grid Table 1 Light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Grid Table 1 Light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Grid Table 1 Light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Grid Table 1 Light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Grid Table 1 Light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Grid Table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2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2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2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2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2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2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3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3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3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3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3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3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4"/>
    <w:basedOn w:val="7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2">
    <w:name w:val="Grid Table 4 - Accent 1"/>
    <w:basedOn w:val="7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3">
    <w:name w:val="Grid Table 4 - Accent 2"/>
    <w:basedOn w:val="7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4">
    <w:name w:val="Grid Table 4 - Accent 3"/>
    <w:basedOn w:val="7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5">
    <w:name w:val="Grid Table 4 - Accent 4"/>
    <w:basedOn w:val="7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6">
    <w:name w:val="Grid Table 4 - Accent 5"/>
    <w:basedOn w:val="7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7">
    <w:name w:val="Grid Table 4 - Accent 6"/>
    <w:basedOn w:val="7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8">
    <w:name w:val="Grid Table 5 Dark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19">
    <w:name w:val="Grid Table 5 Dark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20">
    <w:name w:val="Grid Table 5 Dark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21">
    <w:name w:val="Grid Table 5 Dark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22">
    <w:name w:val="Grid Table 5 Dark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23">
    <w:name w:val="Grid Table 5 Dark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24">
    <w:name w:val="Grid Table 5 Dark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25">
    <w:name w:val="Grid Table 6 Colorful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26">
    <w:name w:val="Grid Table 6 Colorful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27">
    <w:name w:val="Grid Table 6 Colorful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28">
    <w:name w:val="Grid Table 6 Colorful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29">
    <w:name w:val="Grid Table 6 Colorful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30">
    <w:name w:val="Grid Table 6 Colorful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1">
    <w:name w:val="Grid Table 6 Colorful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2">
    <w:name w:val="Grid Table 7 Colorful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7 Colorful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7 Colorful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7 Colorful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7 Colorful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7 Colorful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7 Colorful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1 Light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1 Light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List Table 1 Light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List Table 1 Light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List Table 1 Light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List Table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7">
    <w:name w:val="List Table 2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48">
    <w:name w:val="List Table 2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49">
    <w:name w:val="List Table 2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50">
    <w:name w:val="List Table 2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51">
    <w:name w:val="List Table 2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52">
    <w:name w:val="List Table 2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3">
    <w:name w:val="List Table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3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3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3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3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3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3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4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4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4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4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4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4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5 Dark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8">
    <w:name w:val="List Table 5 Dark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9">
    <w:name w:val="List Table 5 Dark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0">
    <w:name w:val="List Table 5 Dark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1">
    <w:name w:val="List Table 5 Dark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2">
    <w:name w:val="List Table 5 Dark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3">
    <w:name w:val="List Table 5 Dark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4">
    <w:name w:val="List Table 6 Colorful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75">
    <w:name w:val="List Table 6 Colorful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6">
    <w:name w:val="List Table 6 Colorful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77">
    <w:name w:val="List Table 6 Colorful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78">
    <w:name w:val="List Table 6 Colorful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79">
    <w:name w:val="List Table 6 Colorful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80">
    <w:name w:val="List Table 6 Colorful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81">
    <w:name w:val="List Table 7 Colorful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82">
    <w:name w:val="List Table 7 Colorful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83">
    <w:name w:val="List Table 7 Colorful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84">
    <w:name w:val="List Table 7 Colorful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85">
    <w:name w:val="List Table 7 Colorful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86">
    <w:name w:val="List Table 7 Colorful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87">
    <w:name w:val="List Table 7 Colorful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88">
    <w:name w:val="Lined - Accent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9">
    <w:name w:val="Lined - Accent 1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0">
    <w:name w:val="Lined - Accent 2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1">
    <w:name w:val="Lined - Accent 3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2">
    <w:name w:val="Lined - Accent 4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3">
    <w:name w:val="Lined - Accent 5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4">
    <w:name w:val="Lined - Accent 6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5">
    <w:name w:val="Bordered &amp; Lined - Accent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6">
    <w:name w:val="Bordered &amp; Lined - Accent 1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7">
    <w:name w:val="Bordered &amp; Lined - Accent 2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8">
    <w:name w:val="Bordered &amp; Lined - Accent 3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9">
    <w:name w:val="Bordered &amp; Lined - Accent 4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0">
    <w:name w:val="Bordered &amp; Lined - Accent 5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1">
    <w:name w:val="Bordered &amp; Lined - Accent 6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2">
    <w:name w:val="Bordered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3">
    <w:name w:val="Bordered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4">
    <w:name w:val="Bordered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05">
    <w:name w:val="Bordered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06">
    <w:name w:val="Bordered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07">
    <w:name w:val="Bordered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08">
    <w:name w:val="Bordered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09">
    <w:name w:val="Hyperlink"/>
    <w:uiPriority w:val="99"/>
    <w:unhideWhenUsed/>
    <w:rPr>
      <w:color w:val="0000ff" w:themeColor="hyperlink"/>
      <w:u w:val="single"/>
    </w:rPr>
  </w:style>
  <w:style w:type="paragraph" w:styleId="910">
    <w:name w:val="footnote text"/>
    <w:basedOn w:val="927"/>
    <w:link w:val="911"/>
    <w:uiPriority w:val="99"/>
    <w:semiHidden/>
    <w:unhideWhenUsed/>
    <w:pPr>
      <w:spacing w:after="40" w:line="240" w:lineRule="auto"/>
    </w:pPr>
    <w:rPr>
      <w:sz w:val="18"/>
    </w:rPr>
  </w:style>
  <w:style w:type="character" w:styleId="911">
    <w:name w:val="Footnote Text Char"/>
    <w:link w:val="910"/>
    <w:uiPriority w:val="99"/>
    <w:rPr>
      <w:sz w:val="18"/>
    </w:rPr>
  </w:style>
  <w:style w:type="character" w:styleId="912">
    <w:name w:val="footnote reference"/>
    <w:uiPriority w:val="99"/>
    <w:unhideWhenUsed/>
    <w:rPr>
      <w:vertAlign w:val="superscript"/>
    </w:rPr>
  </w:style>
  <w:style w:type="paragraph" w:styleId="913">
    <w:name w:val="endnote text"/>
    <w:basedOn w:val="927"/>
    <w:link w:val="914"/>
    <w:uiPriority w:val="99"/>
    <w:semiHidden/>
    <w:unhideWhenUsed/>
    <w:pPr>
      <w:spacing w:after="0" w:line="240" w:lineRule="auto"/>
    </w:pPr>
    <w:rPr>
      <w:sz w:val="20"/>
    </w:rPr>
  </w:style>
  <w:style w:type="character" w:styleId="914">
    <w:name w:val="Endnote Text Char"/>
    <w:link w:val="913"/>
    <w:uiPriority w:val="99"/>
    <w:rPr>
      <w:sz w:val="20"/>
    </w:rPr>
  </w:style>
  <w:style w:type="character" w:styleId="915">
    <w:name w:val="endnote reference"/>
    <w:uiPriority w:val="99"/>
    <w:semiHidden/>
    <w:unhideWhenUsed/>
    <w:rPr>
      <w:vertAlign w:val="superscript"/>
    </w:rPr>
  </w:style>
  <w:style w:type="paragraph" w:styleId="916">
    <w:name w:val="toc 1"/>
    <w:basedOn w:val="927"/>
    <w:next w:val="927"/>
    <w:uiPriority w:val="39"/>
    <w:unhideWhenUsed/>
    <w:pPr>
      <w:ind w:left="0" w:right="0" w:firstLine="0"/>
      <w:spacing w:after="57"/>
    </w:pPr>
  </w:style>
  <w:style w:type="paragraph" w:styleId="917">
    <w:name w:val="toc 2"/>
    <w:basedOn w:val="927"/>
    <w:next w:val="927"/>
    <w:uiPriority w:val="39"/>
    <w:unhideWhenUsed/>
    <w:pPr>
      <w:ind w:left="283" w:right="0" w:firstLine="0"/>
      <w:spacing w:after="57"/>
    </w:pPr>
  </w:style>
  <w:style w:type="paragraph" w:styleId="918">
    <w:name w:val="toc 3"/>
    <w:basedOn w:val="927"/>
    <w:next w:val="927"/>
    <w:uiPriority w:val="39"/>
    <w:unhideWhenUsed/>
    <w:pPr>
      <w:ind w:left="567" w:right="0" w:firstLine="0"/>
      <w:spacing w:after="57"/>
    </w:pPr>
  </w:style>
  <w:style w:type="paragraph" w:styleId="919">
    <w:name w:val="toc 4"/>
    <w:basedOn w:val="927"/>
    <w:next w:val="927"/>
    <w:uiPriority w:val="39"/>
    <w:unhideWhenUsed/>
    <w:pPr>
      <w:ind w:left="850" w:right="0" w:firstLine="0"/>
      <w:spacing w:after="57"/>
    </w:pPr>
  </w:style>
  <w:style w:type="paragraph" w:styleId="920">
    <w:name w:val="toc 5"/>
    <w:basedOn w:val="927"/>
    <w:next w:val="927"/>
    <w:uiPriority w:val="39"/>
    <w:unhideWhenUsed/>
    <w:pPr>
      <w:ind w:left="1134" w:right="0" w:firstLine="0"/>
      <w:spacing w:after="57"/>
    </w:pPr>
  </w:style>
  <w:style w:type="paragraph" w:styleId="921">
    <w:name w:val="toc 6"/>
    <w:basedOn w:val="927"/>
    <w:next w:val="927"/>
    <w:uiPriority w:val="39"/>
    <w:unhideWhenUsed/>
    <w:pPr>
      <w:ind w:left="1417" w:right="0" w:firstLine="0"/>
      <w:spacing w:after="57"/>
    </w:pPr>
  </w:style>
  <w:style w:type="paragraph" w:styleId="922">
    <w:name w:val="toc 7"/>
    <w:basedOn w:val="927"/>
    <w:next w:val="927"/>
    <w:uiPriority w:val="39"/>
    <w:unhideWhenUsed/>
    <w:pPr>
      <w:ind w:left="1701" w:right="0" w:firstLine="0"/>
      <w:spacing w:after="57"/>
    </w:pPr>
  </w:style>
  <w:style w:type="paragraph" w:styleId="923">
    <w:name w:val="toc 8"/>
    <w:basedOn w:val="927"/>
    <w:next w:val="927"/>
    <w:uiPriority w:val="39"/>
    <w:unhideWhenUsed/>
    <w:pPr>
      <w:ind w:left="1984" w:right="0" w:firstLine="0"/>
      <w:spacing w:after="57"/>
    </w:pPr>
  </w:style>
  <w:style w:type="paragraph" w:styleId="924">
    <w:name w:val="toc 9"/>
    <w:basedOn w:val="927"/>
    <w:next w:val="927"/>
    <w:uiPriority w:val="39"/>
    <w:unhideWhenUsed/>
    <w:pPr>
      <w:ind w:left="2268" w:right="0" w:firstLine="0"/>
      <w:spacing w:after="57"/>
    </w:pPr>
  </w:style>
  <w:style w:type="paragraph" w:styleId="925">
    <w:name w:val="TOC Heading"/>
    <w:uiPriority w:val="39"/>
    <w:unhideWhenUsed/>
  </w:style>
  <w:style w:type="paragraph" w:styleId="926">
    <w:name w:val="table of figures"/>
    <w:basedOn w:val="927"/>
    <w:next w:val="927"/>
    <w:uiPriority w:val="99"/>
    <w:unhideWhenUsed/>
    <w:pPr>
      <w:spacing w:after="0" w:afterAutospacing="0"/>
    </w:pPr>
  </w:style>
  <w:style w:type="paragraph" w:styleId="927" w:default="1">
    <w:name w:val="Normal"/>
  </w:style>
  <w:style w:type="table" w:styleId="928" w:default="1">
    <w:name w:val="Table Normal"/>
    <w:tblPr/>
  </w:style>
  <w:style w:type="paragraph" w:styleId="929">
    <w:name w:val="Heading 1"/>
    <w:basedOn w:val="927"/>
    <w:next w:val="927"/>
    <w:pPr>
      <w:keepLines/>
      <w:keepNext/>
      <w:pageBreakBefore w:val="0"/>
      <w:spacing w:before="400" w:after="120"/>
    </w:pPr>
    <w:rPr>
      <w:sz w:val="40"/>
      <w:szCs w:val="40"/>
    </w:rPr>
  </w:style>
  <w:style w:type="paragraph" w:styleId="930">
    <w:name w:val="Heading 2"/>
    <w:basedOn w:val="927"/>
    <w:next w:val="927"/>
    <w:pPr>
      <w:keepLines/>
      <w:keepNext/>
      <w:pageBreakBefore w:val="0"/>
      <w:spacing w:before="360" w:after="120"/>
    </w:pPr>
    <w:rPr>
      <w:b w:val="0"/>
      <w:sz w:val="32"/>
      <w:szCs w:val="32"/>
    </w:rPr>
  </w:style>
  <w:style w:type="paragraph" w:styleId="931">
    <w:name w:val="Heading 3"/>
    <w:basedOn w:val="927"/>
    <w:next w:val="927"/>
    <w:pPr>
      <w:keepLines/>
      <w:keepNext/>
      <w:pageBreakBefore w:val="0"/>
      <w:spacing w:before="320" w:after="80"/>
    </w:pPr>
    <w:rPr>
      <w:b w:val="0"/>
      <w:color w:val="434343"/>
      <w:sz w:val="28"/>
      <w:szCs w:val="28"/>
    </w:rPr>
  </w:style>
  <w:style w:type="paragraph" w:styleId="932">
    <w:name w:val="Heading 4"/>
    <w:basedOn w:val="927"/>
    <w:next w:val="927"/>
    <w:pPr>
      <w:keepLines/>
      <w:keepNext/>
      <w:pageBreakBefore w:val="0"/>
      <w:spacing w:before="280" w:after="80"/>
    </w:pPr>
    <w:rPr>
      <w:color w:val="666666"/>
      <w:sz w:val="24"/>
      <w:szCs w:val="24"/>
    </w:rPr>
  </w:style>
  <w:style w:type="paragraph" w:styleId="933">
    <w:name w:val="Heading 5"/>
    <w:basedOn w:val="927"/>
    <w:next w:val="927"/>
    <w:pPr>
      <w:keepLines/>
      <w:keepNext/>
      <w:pageBreakBefore w:val="0"/>
      <w:spacing w:before="240" w:after="80"/>
    </w:pPr>
    <w:rPr>
      <w:color w:val="666666"/>
      <w:sz w:val="22"/>
      <w:szCs w:val="22"/>
    </w:rPr>
  </w:style>
  <w:style w:type="paragraph" w:styleId="934">
    <w:name w:val="Heading 6"/>
    <w:basedOn w:val="927"/>
    <w:next w:val="927"/>
    <w:pPr>
      <w:keepLines/>
      <w:keepNext/>
      <w:pageBreakBefore w:val="0"/>
      <w:spacing w:before="240" w:after="80"/>
    </w:pPr>
    <w:rPr>
      <w:i/>
      <w:color w:val="666666"/>
      <w:sz w:val="22"/>
      <w:szCs w:val="22"/>
    </w:rPr>
  </w:style>
  <w:style w:type="paragraph" w:styleId="935">
    <w:name w:val="Title"/>
    <w:basedOn w:val="927"/>
    <w:next w:val="927"/>
    <w:pPr>
      <w:keepLines/>
      <w:keepNext/>
      <w:pageBreakBefore w:val="0"/>
      <w:spacing w:before="0" w:after="60"/>
    </w:pPr>
    <w:rPr>
      <w:sz w:val="52"/>
      <w:szCs w:val="52"/>
    </w:rPr>
  </w:style>
  <w:style w:type="paragraph" w:styleId="936">
    <w:name w:val="Subtitle"/>
    <w:basedOn w:val="927"/>
    <w:next w:val="927"/>
    <w:pPr>
      <w:keepLines/>
      <w:keepNext/>
      <w:pageBreakBefore w:val="0"/>
      <w:spacing w:before="0" w:after="320"/>
    </w:pPr>
    <w:rPr>
      <w:rFonts w:ascii="Arial" w:hAnsi="Arial" w:eastAsia="Arial" w:cs="Arial"/>
      <w:i w:val="0"/>
      <w:color w:val="666666"/>
      <w:sz w:val="30"/>
      <w:szCs w:val="30"/>
    </w:rPr>
  </w:style>
  <w:style w:type="table" w:styleId="937">
    <w:name w:val="StGen0"/>
    <w:basedOn w:val="928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character" w:styleId="938" w:default="1">
    <w:name w:val="Default Paragraph Font"/>
    <w:uiPriority w:val="1"/>
    <w:semiHidden/>
    <w:unhideWhenUsed/>
  </w:style>
  <w:style w:type="numbering" w:styleId="93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Алина Леухина</cp:lastModifiedBy>
  <cp:revision>3</cp:revision>
  <dcterms:modified xsi:type="dcterms:W3CDTF">2024-07-23T15:05:52Z</dcterms:modified>
</cp:coreProperties>
</file>